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DD" w:rsidRDefault="008D71DD">
      <w:pPr>
        <w:rPr>
          <w:b/>
          <w:sz w:val="32"/>
        </w:rPr>
      </w:pPr>
      <w:r>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0">
            <wp:simplePos x="0" y="0"/>
            <wp:positionH relativeFrom="column">
              <wp:posOffset>-86858</wp:posOffset>
            </wp:positionH>
            <wp:positionV relativeFrom="paragraph">
              <wp:posOffset>-143355</wp:posOffset>
            </wp:positionV>
            <wp:extent cx="1514901" cy="978090"/>
            <wp:effectExtent l="0" t="0" r="952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11" r="6851"/>
                    <a:stretch>
                      <a:fillRect/>
                    </a:stretch>
                  </pic:blipFill>
                  <pic:spPr bwMode="auto">
                    <a:xfrm>
                      <a:off x="0" y="0"/>
                      <a:ext cx="1514901" cy="978090"/>
                    </a:xfrm>
                    <a:prstGeom prst="rect">
                      <a:avLst/>
                    </a:prstGeom>
                    <a:noFill/>
                  </pic:spPr>
                </pic:pic>
              </a:graphicData>
            </a:graphic>
          </wp:anchor>
        </w:drawing>
      </w:r>
    </w:p>
    <w:p w:rsidR="008D71DD" w:rsidRDefault="008D71DD">
      <w:pPr>
        <w:rPr>
          <w:b/>
          <w:sz w:val="32"/>
        </w:rPr>
      </w:pPr>
    </w:p>
    <w:p w:rsidR="008D71DD" w:rsidRDefault="008D71DD">
      <w:pPr>
        <w:rPr>
          <w:b/>
          <w:sz w:val="32"/>
        </w:rPr>
      </w:pPr>
      <w:r>
        <w:rPr>
          <w:rFonts w:ascii="Times New Roman" w:hAnsi="Times New Roman" w:cs="Times New Roman"/>
          <w:noProof/>
          <w:sz w:val="24"/>
          <w:szCs w:val="24"/>
          <w:lang w:val="ru-RU" w:eastAsia="ru-RU"/>
        </w:rPr>
        <w:drawing>
          <wp:anchor distT="0" distB="0" distL="114300" distR="114300" simplePos="0" relativeHeight="251661312" behindDoc="0" locked="0" layoutInCell="1" allowOverlap="1">
            <wp:simplePos x="0" y="0"/>
            <wp:positionH relativeFrom="column">
              <wp:posOffset>4398010</wp:posOffset>
            </wp:positionH>
            <wp:positionV relativeFrom="paragraph">
              <wp:posOffset>-730885</wp:posOffset>
            </wp:positionV>
            <wp:extent cx="962025" cy="81978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819785"/>
                    </a:xfrm>
                    <a:prstGeom prst="rect">
                      <a:avLst/>
                    </a:prstGeom>
                    <a:noFill/>
                    <a:ln>
                      <a:noFill/>
                    </a:ln>
                  </pic:spPr>
                </pic:pic>
              </a:graphicData>
            </a:graphic>
          </wp:anchor>
        </w:drawing>
      </w:r>
    </w:p>
    <w:p w:rsidR="00935C62" w:rsidRDefault="004400A7">
      <w:pPr>
        <w:rPr>
          <w:b/>
          <w:sz w:val="32"/>
        </w:rPr>
      </w:pPr>
      <w:r w:rsidRPr="00E17F1F">
        <w:rPr>
          <w:b/>
          <w:sz w:val="32"/>
        </w:rPr>
        <w:t>Changes to the Labour Force Survey of Moldova – overview and assessment of impact</w:t>
      </w:r>
    </w:p>
    <w:p w:rsidR="00083A77" w:rsidRPr="00E17F1F" w:rsidRDefault="00083A77">
      <w:pPr>
        <w:rPr>
          <w:b/>
          <w:sz w:val="32"/>
        </w:rPr>
      </w:pPr>
      <w:r>
        <w:rPr>
          <w:b/>
          <w:sz w:val="32"/>
        </w:rPr>
        <w:t>Executive Summary:</w:t>
      </w:r>
    </w:p>
    <w:p w:rsidR="001E0AF5" w:rsidRDefault="0072735E" w:rsidP="0072735E">
      <w:pPr>
        <w:jc w:val="both"/>
      </w:pPr>
      <w:r>
        <w:t xml:space="preserve">Between 2018 and 2019 some important changes have occurred in published labour market statistics for Moldova. </w:t>
      </w:r>
      <w:r w:rsidR="00115AF8">
        <w:t xml:space="preserve">The changes have been made to make important updates to the methodology to reflect latest international standards and practices. </w:t>
      </w:r>
      <w:r>
        <w:t>The impact of these changes has been very visible, particularly in the statistics on employment and unemployment. Figure 1</w:t>
      </w:r>
      <w:r w:rsidR="00115AF8">
        <w:t xml:space="preserve"> </w:t>
      </w:r>
      <w:r>
        <w:t>show</w:t>
      </w:r>
      <w:r w:rsidR="00115AF8">
        <w:t>s</w:t>
      </w:r>
      <w:r>
        <w:t xml:space="preserve"> </w:t>
      </w:r>
      <w:r w:rsidR="001E0AF5">
        <w:t>the headline level of employment</w:t>
      </w:r>
      <w:r>
        <w:t xml:space="preserve"> between 2017 and 2019. As can be seen between </w:t>
      </w:r>
      <w:r w:rsidR="001E0AF5">
        <w:t>important shifts in the series both at the beginning of 2018</w:t>
      </w:r>
      <w:r w:rsidR="001727B3">
        <w:rPr>
          <w:rStyle w:val="a5"/>
        </w:rPr>
        <w:footnoteReference w:id="1"/>
      </w:r>
      <w:r w:rsidR="001E0AF5">
        <w:t xml:space="preserve"> and again, although less substantial, at the beginning of 2019</w:t>
      </w:r>
      <w:r>
        <w:t xml:space="preserve">. </w:t>
      </w:r>
    </w:p>
    <w:p w:rsidR="001E0AF5" w:rsidRDefault="001E0AF5" w:rsidP="001E0AF5">
      <w:pPr>
        <w:jc w:val="center"/>
      </w:pPr>
      <w:r>
        <w:rPr>
          <w:noProof/>
          <w:lang w:val="ru-RU" w:eastAsia="ru-RU"/>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00A7" w:rsidRDefault="001E0AF5" w:rsidP="0072735E">
      <w:pPr>
        <w:jc w:val="both"/>
      </w:pPr>
      <w:r>
        <w:t xml:space="preserve">Shifts can also be seen in other labour market indicators such as those on unemployment. </w:t>
      </w:r>
      <w:r w:rsidR="0072735E">
        <w:t xml:space="preserve">These movements are the result of changes in methodology </w:t>
      </w:r>
      <w:r>
        <w:t>that</w:t>
      </w:r>
      <w:r w:rsidR="0072735E">
        <w:t xml:space="preserve"> are designed to improve the quality of the statistics in various ways. The changes </w:t>
      </w:r>
      <w:r w:rsidR="00820478">
        <w:t>introduced and their impact on the statistics are explained in this note.</w:t>
      </w:r>
    </w:p>
    <w:p w:rsidR="00083A77" w:rsidRDefault="00083A77" w:rsidP="0072735E">
      <w:pPr>
        <w:jc w:val="both"/>
      </w:pPr>
      <w:r>
        <w:t>The key points of note include:</w:t>
      </w:r>
    </w:p>
    <w:p w:rsidR="00083A77" w:rsidRPr="0090417F" w:rsidRDefault="00083A77" w:rsidP="00083A77">
      <w:pPr>
        <w:pStyle w:val="a7"/>
        <w:numPr>
          <w:ilvl w:val="0"/>
          <w:numId w:val="8"/>
        </w:numPr>
        <w:jc w:val="both"/>
      </w:pPr>
      <w:r w:rsidRPr="0090417F">
        <w:t xml:space="preserve">The latest </w:t>
      </w:r>
      <w:r w:rsidR="0037627D" w:rsidRPr="0090417F">
        <w:t xml:space="preserve">ILO </w:t>
      </w:r>
      <w:r w:rsidRPr="0090417F">
        <w:t>international statistical standards have been applied</w:t>
      </w:r>
      <w:r w:rsidR="00741D79" w:rsidRPr="0090417F">
        <w:t xml:space="preserve"> in the LFS questionnaire</w:t>
      </w:r>
      <w:r w:rsidRPr="0090417F">
        <w:t>, starting in Q1 2018</w:t>
      </w:r>
      <w:r w:rsidR="0090417F" w:rsidRPr="0090417F">
        <w:t xml:space="preserve"> and the series applying these standards were first publish</w:t>
      </w:r>
      <w:r w:rsidR="008755E1">
        <w:t>ed</w:t>
      </w:r>
      <w:r w:rsidR="0090417F" w:rsidRPr="0090417F">
        <w:t xml:space="preserve"> with the Q1 2019 results</w:t>
      </w:r>
      <w:r w:rsidR="008E7DD3">
        <w:t>.</w:t>
      </w:r>
      <w:r w:rsidR="0090417F" w:rsidRPr="0090417F">
        <w:t xml:space="preserve"> </w:t>
      </w:r>
      <w:r w:rsidRPr="0090417F">
        <w:t xml:space="preserve">These standards update definitions of employment and unemployment to generate more detailed and meaningful information on labour market engagement and participation in paid and unpaid work. </w:t>
      </w:r>
    </w:p>
    <w:p w:rsidR="00083A77" w:rsidRPr="0090417F" w:rsidRDefault="00083A77" w:rsidP="00083A77">
      <w:pPr>
        <w:pStyle w:val="a7"/>
        <w:numPr>
          <w:ilvl w:val="1"/>
          <w:numId w:val="8"/>
        </w:numPr>
        <w:jc w:val="both"/>
      </w:pPr>
      <w:r w:rsidRPr="0090417F">
        <w:lastRenderedPageBreak/>
        <w:t xml:space="preserve">In this new framework, work done to produce goods </w:t>
      </w:r>
      <w:r w:rsidR="008755E1">
        <w:t xml:space="preserve">for own use </w:t>
      </w:r>
      <w:r w:rsidRPr="0090417F">
        <w:t xml:space="preserve">is not included in the definition of employment, instead it is identified as a different form of work. The result is that the estimate of employment is lower when the new standards are applied. </w:t>
      </w:r>
    </w:p>
    <w:p w:rsidR="0037627D" w:rsidRPr="0090417F" w:rsidRDefault="0037627D" w:rsidP="00083A77">
      <w:pPr>
        <w:pStyle w:val="a7"/>
        <w:numPr>
          <w:ilvl w:val="1"/>
          <w:numId w:val="8"/>
        </w:numPr>
        <w:jc w:val="both"/>
      </w:pPr>
      <w:r w:rsidRPr="0090417F">
        <w:t>By contrast estimates of unemployment increase because some of the people no longer identified as employed can now be identified as unemployed.</w:t>
      </w:r>
    </w:p>
    <w:p w:rsidR="0037627D" w:rsidRDefault="0037627D" w:rsidP="0037627D">
      <w:pPr>
        <w:pStyle w:val="a7"/>
        <w:numPr>
          <w:ilvl w:val="0"/>
          <w:numId w:val="8"/>
        </w:numPr>
        <w:jc w:val="both"/>
      </w:pPr>
      <w:r>
        <w:t>A new population concept and updated population estimates have been introduced</w:t>
      </w:r>
      <w:r w:rsidR="0090417F">
        <w:t xml:space="preserve"> </w:t>
      </w:r>
      <w:r>
        <w:t>starting in Q1 201</w:t>
      </w:r>
      <w:r w:rsidR="00741D79">
        <w:t>9</w:t>
      </w:r>
      <w:r w:rsidR="0090417F">
        <w:t>, also with recalculations for 2018.</w:t>
      </w:r>
      <w:r>
        <w:t xml:space="preserve"> The population concept now applied is the usual resident population, as widely used internationally</w:t>
      </w:r>
      <w:r w:rsidR="004B2DE7">
        <w:t>, while the population estimates have also been updated to take into account the results from the 2014 Census of Population</w:t>
      </w:r>
      <w:r>
        <w:t xml:space="preserve">. The result </w:t>
      </w:r>
      <w:r w:rsidR="004B2DE7">
        <w:t>of these changes is a</w:t>
      </w:r>
      <w:r>
        <w:t xml:space="preserve"> lower estimate of the population. This has an impact on labour market estimates, generating lower estimates of employment, unemployment and all related indicators. </w:t>
      </w:r>
    </w:p>
    <w:p w:rsidR="004E2FBC" w:rsidRDefault="0090417F" w:rsidP="00115AF8">
      <w:pPr>
        <w:jc w:val="both"/>
      </w:pPr>
      <w:r>
        <w:t xml:space="preserve">The recalculations done for 2018 allow a comparison of </w:t>
      </w:r>
      <w:r w:rsidR="00BF1E22">
        <w:t xml:space="preserve">the </w:t>
      </w:r>
      <w:r w:rsidR="00436439">
        <w:t xml:space="preserve">old and new series </w:t>
      </w:r>
      <w:r>
        <w:t>to analyse the impact of the changes</w:t>
      </w:r>
      <w:r w:rsidR="00A25456">
        <w:t xml:space="preserve"> (section 2 of the report)</w:t>
      </w:r>
      <w:r w:rsidR="00436439">
        <w:t xml:space="preserve">. </w:t>
      </w:r>
      <w:r>
        <w:t>As explained in more detail in the main report the changes in estimates are consistent with expectations</w:t>
      </w:r>
      <w:r w:rsidR="004E2FBC">
        <w:t xml:space="preserve"> given the changes in methodology made</w:t>
      </w:r>
      <w:r>
        <w:t xml:space="preserve">. The impact on some of the key indicators </w:t>
      </w:r>
      <w:r w:rsidR="00E20147">
        <w:t>is</w:t>
      </w:r>
      <w:r>
        <w:t xml:space="preserve"> shown in table </w:t>
      </w:r>
      <w:r w:rsidR="00E20147">
        <w:t>A</w:t>
      </w:r>
      <w:r>
        <w:t>.</w:t>
      </w:r>
    </w:p>
    <w:tbl>
      <w:tblPr>
        <w:tblW w:w="8898" w:type="dxa"/>
        <w:jc w:val="center"/>
        <w:tblLook w:val="04A0"/>
      </w:tblPr>
      <w:tblGrid>
        <w:gridCol w:w="3261"/>
        <w:gridCol w:w="1343"/>
        <w:gridCol w:w="1487"/>
        <w:gridCol w:w="1487"/>
        <w:gridCol w:w="1320"/>
      </w:tblGrid>
      <w:tr w:rsidR="00FF3CEF" w:rsidRPr="00FF3CEF" w:rsidTr="005F4DA9">
        <w:trPr>
          <w:trHeight w:val="300"/>
          <w:jc w:val="center"/>
        </w:trPr>
        <w:tc>
          <w:tcPr>
            <w:tcW w:w="7578" w:type="dxa"/>
            <w:gridSpan w:val="4"/>
            <w:tcBorders>
              <w:top w:val="nil"/>
              <w:left w:val="nil"/>
              <w:bottom w:val="single" w:sz="4" w:space="0" w:color="auto"/>
              <w:right w:val="nil"/>
            </w:tcBorders>
            <w:shd w:val="clear" w:color="auto" w:fill="auto"/>
            <w:noWrap/>
            <w:vAlign w:val="bottom"/>
            <w:hideMark/>
          </w:tcPr>
          <w:p w:rsidR="00FF3CEF" w:rsidRPr="00FF3CEF" w:rsidRDefault="00FF3CEF" w:rsidP="00E20147">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xml:space="preserve">Table </w:t>
            </w:r>
            <w:r w:rsidR="00E20147">
              <w:rPr>
                <w:rFonts w:ascii="Calibri" w:eastAsia="Times New Roman" w:hAnsi="Calibri" w:cs="Calibri"/>
                <w:color w:val="000000"/>
                <w:lang w:eastAsia="en-GB"/>
              </w:rPr>
              <w:t>A</w:t>
            </w:r>
            <w:r w:rsidRPr="00FF3CEF">
              <w:rPr>
                <w:rFonts w:ascii="Calibri" w:eastAsia="Times New Roman" w:hAnsi="Calibri" w:cs="Calibri"/>
                <w:color w:val="000000"/>
                <w:lang w:eastAsia="en-GB"/>
              </w:rPr>
              <w:t xml:space="preserve"> - Impact of changes on estimates of number of persons employed, 2018</w:t>
            </w:r>
          </w:p>
        </w:tc>
        <w:tc>
          <w:tcPr>
            <w:tcW w:w="1320" w:type="dxa"/>
            <w:tcBorders>
              <w:top w:val="nil"/>
              <w:left w:val="nil"/>
              <w:bottom w:val="nil"/>
              <w:right w:val="nil"/>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p>
        </w:tc>
      </w:tr>
      <w:tr w:rsidR="00FF3CEF" w:rsidRPr="00FF3CEF" w:rsidTr="005F4DA9">
        <w:trPr>
          <w:trHeight w:val="300"/>
          <w:jc w:val="center"/>
        </w:trPr>
        <w:tc>
          <w:tcPr>
            <w:tcW w:w="32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5637"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FF3CEF" w:rsidRPr="00FF3CEF" w:rsidRDefault="00FF3CEF" w:rsidP="00FF3CEF">
            <w:pPr>
              <w:spacing w:after="0" w:line="240" w:lineRule="auto"/>
              <w:jc w:val="center"/>
              <w:rPr>
                <w:rFonts w:ascii="Calibri" w:eastAsia="Times New Roman" w:hAnsi="Calibri" w:cs="Calibri"/>
                <w:b/>
                <w:bCs/>
                <w:color w:val="000000"/>
                <w:lang w:eastAsia="en-GB"/>
              </w:rPr>
            </w:pPr>
            <w:r w:rsidRPr="00FF3CEF">
              <w:rPr>
                <w:rFonts w:ascii="Calibri" w:eastAsia="Times New Roman" w:hAnsi="Calibri" w:cs="Calibri"/>
                <w:b/>
                <w:bCs/>
                <w:color w:val="000000"/>
                <w:lang w:eastAsia="en-GB"/>
              </w:rPr>
              <w:t>2018 average</w:t>
            </w:r>
          </w:p>
        </w:tc>
      </w:tr>
      <w:tr w:rsidR="00FF3CEF" w:rsidRPr="00FF3CEF" w:rsidTr="00310AA5">
        <w:trPr>
          <w:trHeight w:val="1245"/>
          <w:jc w:val="center"/>
        </w:trPr>
        <w:tc>
          <w:tcPr>
            <w:tcW w:w="3261" w:type="dxa"/>
            <w:tcBorders>
              <w:top w:val="nil"/>
              <w:left w:val="single" w:sz="4" w:space="0" w:color="auto"/>
              <w:bottom w:val="single" w:sz="4" w:space="0" w:color="auto"/>
              <w:right w:val="single" w:sz="4" w:space="0" w:color="auto"/>
            </w:tcBorders>
            <w:shd w:val="clear" w:color="000000" w:fill="D9D9D9"/>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1343" w:type="dxa"/>
            <w:tcBorders>
              <w:top w:val="nil"/>
              <w:left w:val="nil"/>
              <w:bottom w:val="single" w:sz="4" w:space="0" w:color="auto"/>
              <w:right w:val="single" w:sz="4" w:space="0" w:color="auto"/>
            </w:tcBorders>
            <w:shd w:val="clear" w:color="auto" w:fill="auto"/>
            <w:vAlign w:val="bottom"/>
            <w:hideMark/>
          </w:tcPr>
          <w:p w:rsidR="00FF3CEF" w:rsidRPr="00FF3CEF" w:rsidRDefault="00797C28" w:rsidP="00FF3CEF">
            <w:pPr>
              <w:spacing w:after="0" w:line="240" w:lineRule="auto"/>
              <w:rPr>
                <w:rFonts w:ascii="Calibri" w:eastAsia="Times New Roman" w:hAnsi="Calibri" w:cs="Calibri"/>
                <w:b/>
                <w:bCs/>
                <w:color w:val="000000"/>
                <w:lang w:eastAsia="en-GB"/>
              </w:rPr>
            </w:pPr>
            <w:r w:rsidRPr="007B00BF">
              <w:rPr>
                <w:b/>
                <w:bCs/>
              </w:rPr>
              <w:t>Old standards, stable population</w:t>
            </w:r>
            <w:r w:rsidR="00310AA5">
              <w:rPr>
                <w:b/>
                <w:bCs/>
              </w:rPr>
              <w:t xml:space="preserve"> (</w:t>
            </w:r>
            <w:r w:rsidR="00FF3CEF" w:rsidRPr="00FF3CEF">
              <w:rPr>
                <w:rFonts w:ascii="Calibri" w:eastAsia="Times New Roman" w:hAnsi="Calibri" w:cs="Calibri"/>
                <w:b/>
                <w:bCs/>
                <w:color w:val="000000"/>
                <w:lang w:eastAsia="en-GB"/>
              </w:rPr>
              <w:t>Old series</w:t>
            </w:r>
            <w:r w:rsidR="00310AA5">
              <w:rPr>
                <w:rFonts w:ascii="Calibri" w:eastAsia="Times New Roman" w:hAnsi="Calibri" w:cs="Calibri"/>
                <w:b/>
                <w:bCs/>
                <w:color w:val="000000"/>
                <w:lang w:eastAsia="en-GB"/>
              </w:rPr>
              <w:t>)</w:t>
            </w:r>
          </w:p>
        </w:tc>
        <w:tc>
          <w:tcPr>
            <w:tcW w:w="1487" w:type="dxa"/>
            <w:tcBorders>
              <w:top w:val="nil"/>
              <w:left w:val="nil"/>
              <w:bottom w:val="single" w:sz="4" w:space="0" w:color="auto"/>
              <w:right w:val="single" w:sz="4" w:space="0" w:color="auto"/>
            </w:tcBorders>
            <w:shd w:val="clear" w:color="auto" w:fill="auto"/>
            <w:vAlign w:val="bottom"/>
            <w:hideMark/>
          </w:tcPr>
          <w:p w:rsidR="00FF3CEF" w:rsidRPr="00FF3CEF" w:rsidRDefault="00FF3CEF" w:rsidP="00310AA5">
            <w:pPr>
              <w:spacing w:after="0" w:line="240" w:lineRule="auto"/>
              <w:rPr>
                <w:rFonts w:ascii="Calibri" w:eastAsia="Times New Roman" w:hAnsi="Calibri" w:cs="Calibri"/>
                <w:b/>
                <w:bCs/>
                <w:color w:val="000000"/>
                <w:lang w:eastAsia="en-GB"/>
              </w:rPr>
            </w:pPr>
            <w:r w:rsidRPr="00FF3CEF">
              <w:rPr>
                <w:rFonts w:ascii="Calibri" w:eastAsia="Times New Roman" w:hAnsi="Calibri" w:cs="Calibri"/>
                <w:b/>
                <w:bCs/>
                <w:color w:val="000000"/>
                <w:lang w:eastAsia="en-GB"/>
              </w:rPr>
              <w:t xml:space="preserve">New standards, </w:t>
            </w:r>
            <w:r w:rsidR="00310AA5">
              <w:rPr>
                <w:rFonts w:ascii="Calibri" w:eastAsia="Times New Roman" w:hAnsi="Calibri" w:cs="Calibri"/>
                <w:b/>
                <w:bCs/>
                <w:color w:val="000000"/>
                <w:lang w:eastAsia="en-GB"/>
              </w:rPr>
              <w:t>stable</w:t>
            </w:r>
            <w:r w:rsidRPr="00FF3CEF">
              <w:rPr>
                <w:rFonts w:ascii="Calibri" w:eastAsia="Times New Roman" w:hAnsi="Calibri" w:cs="Calibri"/>
                <w:b/>
                <w:bCs/>
                <w:color w:val="000000"/>
                <w:lang w:eastAsia="en-GB"/>
              </w:rPr>
              <w:t xml:space="preserve"> population</w:t>
            </w:r>
          </w:p>
        </w:tc>
        <w:tc>
          <w:tcPr>
            <w:tcW w:w="1487" w:type="dxa"/>
            <w:tcBorders>
              <w:top w:val="nil"/>
              <w:left w:val="nil"/>
              <w:bottom w:val="single" w:sz="4" w:space="0" w:color="auto"/>
              <w:right w:val="single" w:sz="4" w:space="0" w:color="auto"/>
            </w:tcBorders>
            <w:shd w:val="clear" w:color="auto" w:fill="auto"/>
            <w:vAlign w:val="bottom"/>
            <w:hideMark/>
          </w:tcPr>
          <w:p w:rsidR="00FF3CEF" w:rsidRPr="00FF3CEF" w:rsidRDefault="00FF3CEF" w:rsidP="00FF3CEF">
            <w:pPr>
              <w:spacing w:after="0" w:line="240" w:lineRule="auto"/>
              <w:rPr>
                <w:rFonts w:ascii="Calibri" w:eastAsia="Times New Roman" w:hAnsi="Calibri" w:cs="Calibri"/>
                <w:b/>
                <w:bCs/>
                <w:color w:val="000000"/>
                <w:lang w:eastAsia="en-GB"/>
              </w:rPr>
            </w:pPr>
            <w:r w:rsidRPr="00FF3CEF">
              <w:rPr>
                <w:rFonts w:ascii="Calibri" w:eastAsia="Times New Roman" w:hAnsi="Calibri" w:cs="Calibri"/>
                <w:b/>
                <w:bCs/>
                <w:color w:val="000000"/>
                <w:lang w:eastAsia="en-GB"/>
              </w:rPr>
              <w:t xml:space="preserve">New standards, new population </w:t>
            </w:r>
            <w:r w:rsidRPr="00DD0997">
              <w:rPr>
                <w:rFonts w:ascii="Calibri" w:eastAsia="Times New Roman" w:hAnsi="Calibri" w:cs="Calibri"/>
                <w:b/>
                <w:bCs/>
                <w:color w:val="000000"/>
                <w:lang w:eastAsia="en-GB"/>
              </w:rPr>
              <w:t>(new series)</w:t>
            </w:r>
          </w:p>
        </w:tc>
        <w:tc>
          <w:tcPr>
            <w:tcW w:w="1320" w:type="dxa"/>
            <w:tcBorders>
              <w:top w:val="nil"/>
              <w:left w:val="nil"/>
              <w:bottom w:val="single" w:sz="4" w:space="0" w:color="auto"/>
              <w:right w:val="single" w:sz="4" w:space="0" w:color="auto"/>
            </w:tcBorders>
            <w:shd w:val="clear" w:color="auto" w:fill="auto"/>
            <w:vAlign w:val="bottom"/>
            <w:hideMark/>
          </w:tcPr>
          <w:p w:rsidR="00FF3CEF" w:rsidRPr="00FF3CEF" w:rsidRDefault="00FF3CEF" w:rsidP="00FF3CEF">
            <w:pPr>
              <w:spacing w:after="0" w:line="240" w:lineRule="auto"/>
              <w:rPr>
                <w:rFonts w:ascii="Calibri" w:eastAsia="Times New Roman" w:hAnsi="Calibri" w:cs="Calibri"/>
                <w:b/>
                <w:bCs/>
                <w:color w:val="000000"/>
                <w:lang w:eastAsia="en-GB"/>
              </w:rPr>
            </w:pPr>
            <w:r w:rsidRPr="00FF3CEF">
              <w:rPr>
                <w:rFonts w:ascii="Calibri" w:eastAsia="Times New Roman" w:hAnsi="Calibri" w:cs="Calibri"/>
                <w:b/>
                <w:bCs/>
                <w:color w:val="000000"/>
                <w:lang w:eastAsia="en-GB"/>
              </w:rPr>
              <w:t>Overall Change (old to new series)</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43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F3CEF" w:rsidRPr="00FF3CEF" w:rsidRDefault="00FF3CEF" w:rsidP="00FF3CEF">
            <w:pPr>
              <w:spacing w:after="0" w:line="240" w:lineRule="auto"/>
              <w:jc w:val="center"/>
              <w:rPr>
                <w:rFonts w:ascii="Calibri" w:eastAsia="Times New Roman" w:hAnsi="Calibri" w:cs="Calibri"/>
                <w:color w:val="000000"/>
                <w:lang w:eastAsia="en-GB"/>
              </w:rPr>
            </w:pPr>
            <w:r w:rsidRPr="00FF3CEF">
              <w:rPr>
                <w:rFonts w:ascii="Calibri" w:eastAsia="Times New Roman" w:hAnsi="Calibri" w:cs="Calibri"/>
                <w:color w:val="000000"/>
                <w:lang w:eastAsia="en-GB"/>
              </w:rPr>
              <w:t>Persons 000's</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center"/>
              <w:rPr>
                <w:rFonts w:ascii="Calibri" w:eastAsia="Times New Roman" w:hAnsi="Calibri" w:cs="Calibri"/>
                <w:color w:val="000000"/>
                <w:lang w:eastAsia="en-GB"/>
              </w:rPr>
            </w:pPr>
            <w:r w:rsidRPr="00FF3CEF">
              <w:rPr>
                <w:rFonts w:ascii="Calibri" w:eastAsia="Times New Roman" w:hAnsi="Calibri" w:cs="Calibri"/>
                <w:color w:val="000000"/>
                <w:lang w:eastAsia="en-GB"/>
              </w:rPr>
              <w:t>%</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Employment (persons)</w:t>
            </w:r>
          </w:p>
        </w:tc>
        <w:tc>
          <w:tcPr>
            <w:tcW w:w="1343" w:type="dxa"/>
            <w:tcBorders>
              <w:top w:val="nil"/>
              <w:left w:val="nil"/>
              <w:bottom w:val="single" w:sz="4" w:space="0" w:color="auto"/>
              <w:right w:val="single" w:sz="4" w:space="0" w:color="auto"/>
            </w:tcBorders>
            <w:shd w:val="clear" w:color="auto" w:fill="auto"/>
            <w:noWrap/>
            <w:vAlign w:val="center"/>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1252.2</w:t>
            </w:r>
          </w:p>
        </w:tc>
        <w:tc>
          <w:tcPr>
            <w:tcW w:w="1487" w:type="dxa"/>
            <w:tcBorders>
              <w:top w:val="nil"/>
              <w:left w:val="nil"/>
              <w:bottom w:val="single" w:sz="4" w:space="0" w:color="auto"/>
              <w:right w:val="single" w:sz="4" w:space="0" w:color="auto"/>
            </w:tcBorders>
            <w:shd w:val="clear" w:color="auto" w:fill="auto"/>
            <w:noWrap/>
            <w:vAlign w:val="center"/>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1028.3</w:t>
            </w:r>
          </w:p>
        </w:tc>
        <w:tc>
          <w:tcPr>
            <w:tcW w:w="1487" w:type="dxa"/>
            <w:tcBorders>
              <w:top w:val="nil"/>
              <w:left w:val="nil"/>
              <w:bottom w:val="single" w:sz="4" w:space="0" w:color="auto"/>
              <w:right w:val="single" w:sz="4" w:space="0" w:color="auto"/>
            </w:tcBorders>
            <w:shd w:val="clear" w:color="auto" w:fill="auto"/>
            <w:noWrap/>
            <w:vAlign w:val="center"/>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794.1</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-37</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Unemployment (persons)</w:t>
            </w:r>
          </w:p>
        </w:tc>
        <w:tc>
          <w:tcPr>
            <w:tcW w:w="1343" w:type="dxa"/>
            <w:tcBorders>
              <w:top w:val="nil"/>
              <w:left w:val="nil"/>
              <w:bottom w:val="single" w:sz="4" w:space="0" w:color="auto"/>
              <w:right w:val="single" w:sz="4" w:space="0" w:color="auto"/>
            </w:tcBorders>
            <w:shd w:val="clear" w:color="auto" w:fill="auto"/>
            <w:noWrap/>
            <w:vAlign w:val="center"/>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38.4</w:t>
            </w:r>
          </w:p>
        </w:tc>
        <w:tc>
          <w:tcPr>
            <w:tcW w:w="1487" w:type="dxa"/>
            <w:tcBorders>
              <w:top w:val="nil"/>
              <w:left w:val="nil"/>
              <w:bottom w:val="single" w:sz="4" w:space="0" w:color="auto"/>
              <w:right w:val="single" w:sz="4" w:space="0" w:color="auto"/>
            </w:tcBorders>
            <w:shd w:val="clear" w:color="auto" w:fill="auto"/>
            <w:noWrap/>
            <w:vAlign w:val="center"/>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44.0</w:t>
            </w:r>
          </w:p>
        </w:tc>
        <w:tc>
          <w:tcPr>
            <w:tcW w:w="1487" w:type="dxa"/>
            <w:tcBorders>
              <w:top w:val="nil"/>
              <w:left w:val="nil"/>
              <w:bottom w:val="single" w:sz="4" w:space="0" w:color="auto"/>
              <w:right w:val="single" w:sz="4" w:space="0" w:color="auto"/>
            </w:tcBorders>
            <w:shd w:val="clear" w:color="auto" w:fill="auto"/>
            <w:noWrap/>
            <w:vAlign w:val="center"/>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34.1</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-11</w:t>
            </w:r>
          </w:p>
        </w:tc>
      </w:tr>
      <w:tr w:rsidR="00FF3CEF" w:rsidRPr="00FF3CEF" w:rsidTr="005F4DA9">
        <w:trPr>
          <w:trHeight w:val="126"/>
          <w:jc w:val="center"/>
        </w:trPr>
        <w:tc>
          <w:tcPr>
            <w:tcW w:w="3261" w:type="dxa"/>
            <w:tcBorders>
              <w:top w:val="nil"/>
              <w:left w:val="single" w:sz="4" w:space="0" w:color="auto"/>
              <w:bottom w:val="single" w:sz="4" w:space="0" w:color="auto"/>
              <w:right w:val="nil"/>
            </w:tcBorders>
            <w:shd w:val="clear" w:color="000000" w:fill="F2F2F2"/>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1343" w:type="dxa"/>
            <w:tcBorders>
              <w:top w:val="nil"/>
              <w:left w:val="nil"/>
              <w:bottom w:val="single" w:sz="4" w:space="0" w:color="auto"/>
              <w:right w:val="nil"/>
            </w:tcBorders>
            <w:shd w:val="clear" w:color="000000" w:fill="F2F2F2"/>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1487" w:type="dxa"/>
            <w:tcBorders>
              <w:top w:val="nil"/>
              <w:left w:val="nil"/>
              <w:bottom w:val="single" w:sz="4" w:space="0" w:color="auto"/>
              <w:right w:val="nil"/>
            </w:tcBorders>
            <w:shd w:val="clear" w:color="000000" w:fill="F2F2F2"/>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1487" w:type="dxa"/>
            <w:tcBorders>
              <w:top w:val="nil"/>
              <w:left w:val="nil"/>
              <w:bottom w:val="single" w:sz="4" w:space="0" w:color="auto"/>
              <w:right w:val="nil"/>
            </w:tcBorders>
            <w:shd w:val="clear" w:color="000000" w:fill="F2F2F2"/>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000000" w:fill="F2F2F2"/>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 </w:t>
            </w:r>
          </w:p>
        </w:tc>
        <w:tc>
          <w:tcPr>
            <w:tcW w:w="43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F3CEF" w:rsidRPr="00FF3CEF" w:rsidRDefault="00FF3CEF" w:rsidP="00FF3CEF">
            <w:pPr>
              <w:spacing w:after="0" w:line="240" w:lineRule="auto"/>
              <w:jc w:val="center"/>
              <w:rPr>
                <w:rFonts w:ascii="Calibri" w:eastAsia="Times New Roman" w:hAnsi="Calibri" w:cs="Calibri"/>
                <w:color w:val="000000"/>
                <w:lang w:eastAsia="en-GB"/>
              </w:rPr>
            </w:pPr>
            <w:r w:rsidRPr="00FF3CEF">
              <w:rPr>
                <w:rFonts w:ascii="Calibri" w:eastAsia="Times New Roman" w:hAnsi="Calibri" w:cs="Calibri"/>
                <w:color w:val="000000"/>
                <w:lang w:eastAsia="en-GB"/>
              </w:rPr>
              <w:t>%</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center"/>
              <w:rPr>
                <w:rFonts w:ascii="Calibri" w:eastAsia="Times New Roman" w:hAnsi="Calibri" w:cs="Calibri"/>
                <w:color w:val="000000"/>
                <w:lang w:eastAsia="en-GB"/>
              </w:rPr>
            </w:pPr>
            <w:r w:rsidRPr="00FF3CEF">
              <w:rPr>
                <w:rFonts w:ascii="Calibri" w:eastAsia="Times New Roman" w:hAnsi="Calibri" w:cs="Calibri"/>
                <w:color w:val="000000"/>
                <w:lang w:eastAsia="en-GB"/>
              </w:rPr>
              <w:t>PP</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Labour force participation rate</w:t>
            </w:r>
          </w:p>
        </w:tc>
        <w:tc>
          <w:tcPr>
            <w:tcW w:w="1343"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43.3</w:t>
            </w:r>
          </w:p>
        </w:tc>
        <w:tc>
          <w:tcPr>
            <w:tcW w:w="1487"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35.9</w:t>
            </w:r>
          </w:p>
        </w:tc>
        <w:tc>
          <w:tcPr>
            <w:tcW w:w="1487"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37.3</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-6.0</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Employment to population ratio</w:t>
            </w:r>
          </w:p>
        </w:tc>
        <w:tc>
          <w:tcPr>
            <w:tcW w:w="1343"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42.0</w:t>
            </w:r>
          </w:p>
        </w:tc>
        <w:tc>
          <w:tcPr>
            <w:tcW w:w="1487"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34.5</w:t>
            </w:r>
          </w:p>
        </w:tc>
        <w:tc>
          <w:tcPr>
            <w:tcW w:w="1487"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35.8</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-6.2</w:t>
            </w:r>
          </w:p>
        </w:tc>
      </w:tr>
      <w:tr w:rsidR="00FF3CEF" w:rsidRPr="00FF3CEF" w:rsidTr="005F4DA9">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rPr>
                <w:rFonts w:ascii="Calibri" w:eastAsia="Times New Roman" w:hAnsi="Calibri" w:cs="Calibri"/>
                <w:color w:val="000000"/>
                <w:lang w:eastAsia="en-GB"/>
              </w:rPr>
            </w:pPr>
            <w:r w:rsidRPr="00FF3CEF">
              <w:rPr>
                <w:rFonts w:ascii="Calibri" w:eastAsia="Times New Roman" w:hAnsi="Calibri" w:cs="Calibri"/>
                <w:color w:val="000000"/>
                <w:lang w:eastAsia="en-GB"/>
              </w:rPr>
              <w:t>Unemployment rate</w:t>
            </w:r>
          </w:p>
        </w:tc>
        <w:tc>
          <w:tcPr>
            <w:tcW w:w="1343"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3.0</w:t>
            </w:r>
          </w:p>
        </w:tc>
        <w:tc>
          <w:tcPr>
            <w:tcW w:w="1487"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4.1</w:t>
            </w:r>
          </w:p>
        </w:tc>
        <w:tc>
          <w:tcPr>
            <w:tcW w:w="1487"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sidRPr="00FF3CEF">
              <w:rPr>
                <w:rFonts w:ascii="Calibri" w:eastAsia="Times New Roman" w:hAnsi="Calibri" w:cs="Calibri"/>
                <w:color w:val="000000"/>
                <w:lang w:eastAsia="en-GB"/>
              </w:rPr>
              <w:t>4.1</w:t>
            </w:r>
          </w:p>
        </w:tc>
        <w:tc>
          <w:tcPr>
            <w:tcW w:w="1320" w:type="dxa"/>
            <w:tcBorders>
              <w:top w:val="nil"/>
              <w:left w:val="nil"/>
              <w:bottom w:val="single" w:sz="4" w:space="0" w:color="auto"/>
              <w:right w:val="single" w:sz="4" w:space="0" w:color="auto"/>
            </w:tcBorders>
            <w:shd w:val="clear" w:color="auto" w:fill="auto"/>
            <w:noWrap/>
            <w:vAlign w:val="bottom"/>
            <w:hideMark/>
          </w:tcPr>
          <w:p w:rsidR="00FF3CEF" w:rsidRPr="00FF3CEF" w:rsidRDefault="00FF3CEF" w:rsidP="00FF3C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FF3CEF">
              <w:rPr>
                <w:rFonts w:ascii="Calibri" w:eastAsia="Times New Roman" w:hAnsi="Calibri" w:cs="Calibri"/>
                <w:color w:val="000000"/>
                <w:lang w:eastAsia="en-GB"/>
              </w:rPr>
              <w:t>1.1</w:t>
            </w:r>
          </w:p>
        </w:tc>
      </w:tr>
    </w:tbl>
    <w:p w:rsidR="00FF3CEF" w:rsidRDefault="00FF3CEF" w:rsidP="00115AF8">
      <w:pPr>
        <w:jc w:val="both"/>
      </w:pPr>
    </w:p>
    <w:p w:rsidR="00436439" w:rsidRDefault="00436439" w:rsidP="004839E6">
      <w:pPr>
        <w:pStyle w:val="a7"/>
        <w:numPr>
          <w:ilvl w:val="0"/>
          <w:numId w:val="8"/>
        </w:numPr>
        <w:jc w:val="both"/>
      </w:pPr>
      <w:r>
        <w:t xml:space="preserve">The new estimate of employment for 2018 was </w:t>
      </w:r>
      <w:r w:rsidR="00146714">
        <w:t>794,100. This was 37% lower than the old employment estimate (1,252,200</w:t>
      </w:r>
      <w:r w:rsidR="004B2DE7">
        <w:t>). About half of this difference was accounted for by the introduction of the new standards, and the other half by the changes in population definition and estimates.</w:t>
      </w:r>
    </w:p>
    <w:p w:rsidR="00FF3CEF" w:rsidRDefault="00FF3CEF" w:rsidP="00FF3CEF">
      <w:pPr>
        <w:pStyle w:val="a7"/>
        <w:numPr>
          <w:ilvl w:val="0"/>
          <w:numId w:val="8"/>
        </w:numPr>
        <w:jc w:val="both"/>
      </w:pPr>
      <w:r>
        <w:t xml:space="preserve">The new standards caused a higher estimate of unemployment, but this was cancelled out by the impact of the new population definition and estimates. Overall the new estimate of unemployment for </w:t>
      </w:r>
      <w:r w:rsidR="00E56D0C">
        <w:t xml:space="preserve"> 2018</w:t>
      </w:r>
      <w:r>
        <w:t xml:space="preserve"> was 34,100</w:t>
      </w:r>
      <w:r w:rsidR="00310AA5">
        <w:t>,</w:t>
      </w:r>
      <w:r>
        <w:t xml:space="preserve"> </w:t>
      </w:r>
      <w:r w:rsidR="008B6108">
        <w:t xml:space="preserve">which was </w:t>
      </w:r>
      <w:r>
        <w:t>11% lower than the old estimate (38,400).</w:t>
      </w:r>
    </w:p>
    <w:p w:rsidR="00FF3CEF" w:rsidRDefault="00FF3CEF" w:rsidP="00FF3CEF">
      <w:pPr>
        <w:pStyle w:val="a7"/>
        <w:numPr>
          <w:ilvl w:val="0"/>
          <w:numId w:val="8"/>
        </w:numPr>
        <w:jc w:val="both"/>
      </w:pPr>
      <w:r>
        <w:t>The</w:t>
      </w:r>
      <w:r w:rsidR="008B6108">
        <w:t xml:space="preserve"> labour</w:t>
      </w:r>
      <w:r>
        <w:t xml:space="preserve"> force participation was 6 percentage points lower under the new series (37.3% versus 43.3%), while the employment</w:t>
      </w:r>
      <w:r w:rsidR="008B6108">
        <w:t>-</w:t>
      </w:r>
      <w:r>
        <w:t>to</w:t>
      </w:r>
      <w:r w:rsidR="008B6108">
        <w:t xml:space="preserve">-population ratio </w:t>
      </w:r>
      <w:r>
        <w:t xml:space="preserve"> was 6.2 percentage points lower (35.8% versus 42.0%). Meanwhile the unemployment rate was 1.1 percentage points higher (4.1% versus 3.0%). The reduction in these key rates was entirely caused by the introduction of the new standards.</w:t>
      </w:r>
    </w:p>
    <w:p w:rsidR="00D1532E" w:rsidRDefault="00D1532E" w:rsidP="00115AF8">
      <w:pPr>
        <w:jc w:val="both"/>
      </w:pPr>
      <w:r>
        <w:lastRenderedPageBreak/>
        <w:t xml:space="preserve">An additional methodological change was introduced in Q1 2019, when the sample frame and </w:t>
      </w:r>
      <w:r w:rsidR="008B6108">
        <w:t>sampl</w:t>
      </w:r>
      <w:r w:rsidR="00310AA5">
        <w:t>ing</w:t>
      </w:r>
      <w:r w:rsidR="008B6108">
        <w:t xml:space="preserve"> </w:t>
      </w:r>
      <w:r>
        <w:t>methodology were updated</w:t>
      </w:r>
      <w:r w:rsidR="00A25456">
        <w:t xml:space="preserve"> (section 3 of the report)</w:t>
      </w:r>
      <w:r>
        <w:t>. It is not possible to generate a direct estimate of the impact of this change on estimates. Therefore</w:t>
      </w:r>
      <w:r w:rsidR="00115AF8">
        <w:t>,</w:t>
      </w:r>
      <w:r>
        <w:t xml:space="preserve"> there is a break in the series between Q4 2018 and Q1 2019 that should be taken into account when analysing time series. The direction of the brea</w:t>
      </w:r>
      <w:r w:rsidRPr="00115AF8">
        <w:t xml:space="preserve">k is known, namely </w:t>
      </w:r>
      <w:r w:rsidR="008B6108" w:rsidRPr="00115AF8">
        <w:t>an</w:t>
      </w:r>
      <w:r w:rsidRPr="00115AF8">
        <w:t xml:space="preserve"> </w:t>
      </w:r>
      <w:r w:rsidR="00115AF8" w:rsidRPr="00115AF8">
        <w:t>upward</w:t>
      </w:r>
      <w:r w:rsidRPr="00115AF8">
        <w:t xml:space="preserve"> break (higher level of estimates) for both employment and unemployment. This can be explained by the fact that some newer housing areas are now included in the sample, which have relatively higher levels of labour market engagement.</w:t>
      </w:r>
      <w:r w:rsidR="00115AF8">
        <w:t xml:space="preserve"> </w:t>
      </w:r>
    </w:p>
    <w:p w:rsidR="00D1532E" w:rsidRDefault="00A25456" w:rsidP="00115AF8">
      <w:pPr>
        <w:jc w:val="both"/>
      </w:pPr>
      <w:r>
        <w:t>T</w:t>
      </w:r>
      <w:r w:rsidR="00D1532E">
        <w:t xml:space="preserve">he changes introduced improve the quality of the statistics generated and have been </w:t>
      </w:r>
      <w:r w:rsidR="00377144">
        <w:t>implemented to</w:t>
      </w:r>
      <w:r w:rsidR="00D1532E">
        <w:t xml:space="preserve"> apply </w:t>
      </w:r>
      <w:r w:rsidR="00377144">
        <w:t xml:space="preserve">updated </w:t>
      </w:r>
      <w:r w:rsidR="00D1532E">
        <w:t xml:space="preserve">good practices and </w:t>
      </w:r>
      <w:r w:rsidR="00377144">
        <w:t xml:space="preserve">international </w:t>
      </w:r>
      <w:r w:rsidR="00D1532E">
        <w:t xml:space="preserve">standards. </w:t>
      </w:r>
    </w:p>
    <w:p w:rsidR="006B3DDA" w:rsidRDefault="006B3DDA" w:rsidP="00115AF8">
      <w:pPr>
        <w:jc w:val="both"/>
      </w:pPr>
      <w:r>
        <w:t>An additional benefit of the introduction of the new ILO international statistical standards is that it allows additional indicators to be generated to support more detailed analysis and understanding of labour market engagement and work</w:t>
      </w:r>
      <w:r w:rsidR="00A25456">
        <w:t xml:space="preserve"> (section 4 of the report)</w:t>
      </w:r>
      <w:r>
        <w:t xml:space="preserve">. </w:t>
      </w:r>
    </w:p>
    <w:p w:rsidR="004B2DE7" w:rsidRDefault="004B2DE7" w:rsidP="00115AF8">
      <w:pPr>
        <w:jc w:val="both"/>
      </w:pPr>
      <w:r>
        <w:t xml:space="preserve">The </w:t>
      </w:r>
      <w:r w:rsidR="00377144">
        <w:t xml:space="preserve">changes and their </w:t>
      </w:r>
      <w:r>
        <w:t>impacts are discussed in more detail in the main body of the report.</w:t>
      </w:r>
    </w:p>
    <w:p w:rsidR="00B17F5E" w:rsidRDefault="00B17F5E" w:rsidP="00115AF8">
      <w:pPr>
        <w:jc w:val="both"/>
      </w:pPr>
    </w:p>
    <w:p w:rsidR="00B17F5E" w:rsidRDefault="00B17F5E" w:rsidP="00115AF8">
      <w:pPr>
        <w:jc w:val="both"/>
      </w:pPr>
      <w:r w:rsidRPr="00B17F5E">
        <w:t>This report was prepared in collaboration between the ILO Department of Statistics (Kieran Walsh and Desiree Manamela) and the National Bureau of Statistics of Moldova.</w:t>
      </w:r>
    </w:p>
    <w:p w:rsidR="00F87967" w:rsidRDefault="00F87967" w:rsidP="0072735E">
      <w:pPr>
        <w:jc w:val="both"/>
      </w:pPr>
    </w:p>
    <w:p w:rsidR="001B2E9E" w:rsidRDefault="001B2E9E" w:rsidP="0072735E">
      <w:pPr>
        <w:jc w:val="both"/>
      </w:pPr>
      <w:r>
        <w:br w:type="page"/>
      </w:r>
    </w:p>
    <w:p w:rsidR="004400A7" w:rsidRPr="00F87967" w:rsidRDefault="004400A7" w:rsidP="00F87967">
      <w:pPr>
        <w:pStyle w:val="a7"/>
        <w:numPr>
          <w:ilvl w:val="0"/>
          <w:numId w:val="5"/>
        </w:numPr>
        <w:rPr>
          <w:b/>
          <w:sz w:val="28"/>
        </w:rPr>
      </w:pPr>
      <w:r w:rsidRPr="00F87967">
        <w:rPr>
          <w:b/>
          <w:sz w:val="28"/>
        </w:rPr>
        <w:lastRenderedPageBreak/>
        <w:t>Introduction:</w:t>
      </w:r>
    </w:p>
    <w:p w:rsidR="004400A7" w:rsidRDefault="004400A7" w:rsidP="004400A7">
      <w:pPr>
        <w:jc w:val="both"/>
      </w:pPr>
      <w:r>
        <w:t xml:space="preserve">Changes in statistical methodology and definitions </w:t>
      </w:r>
      <w:r w:rsidR="001E0AF5">
        <w:t>occur</w:t>
      </w:r>
      <w:r>
        <w:t xml:space="preserve"> across all statistical domains. The general purpose of </w:t>
      </w:r>
      <w:r w:rsidR="00DB1D9F">
        <w:t>chang</w:t>
      </w:r>
      <w:r>
        <w:t xml:space="preserve">es </w:t>
      </w:r>
      <w:r w:rsidR="00DB1D9F">
        <w:t>will typically be</w:t>
      </w:r>
      <w:r>
        <w:t xml:space="preserve"> to improve the quality</w:t>
      </w:r>
      <w:r w:rsidR="00DB1D9F">
        <w:rPr>
          <w:rStyle w:val="a5"/>
        </w:rPr>
        <w:footnoteReference w:id="2"/>
      </w:r>
      <w:r>
        <w:t xml:space="preserve"> of the statistics generated in, for example </w:t>
      </w:r>
      <w:r w:rsidR="00820478">
        <w:t xml:space="preserve">their </w:t>
      </w:r>
      <w:r>
        <w:t>relevance</w:t>
      </w:r>
      <w:r w:rsidR="00DB1D9F">
        <w:t xml:space="preserve">, coherence, clarity and comparability. </w:t>
      </w:r>
      <w:r w:rsidR="009A2E93">
        <w:t>The nature of changes will also be varied</w:t>
      </w:r>
      <w:r w:rsidR="00AF3A37">
        <w:t>,</w:t>
      </w:r>
      <w:r w:rsidR="009A2E93">
        <w:t xml:space="preserve"> sometimes coming from the introduction of new statistical frameworks at the international level, introduction or update of national data sources or various methods such as sampling approaches etc.</w:t>
      </w:r>
    </w:p>
    <w:p w:rsidR="009A2E93" w:rsidRDefault="009A2E93" w:rsidP="004400A7">
      <w:pPr>
        <w:jc w:val="both"/>
      </w:pPr>
      <w:r>
        <w:t>In the case of labour statistics</w:t>
      </w:r>
      <w:r w:rsidR="001E0AF5">
        <w:t>,</w:t>
      </w:r>
      <w:r>
        <w:t xml:space="preserve"> the</w:t>
      </w:r>
      <w:r w:rsidR="00AF3A37">
        <w:t xml:space="preserve"> National</w:t>
      </w:r>
      <w:r>
        <w:t xml:space="preserve"> Labour Force Survey</w:t>
      </w:r>
      <w:r w:rsidR="00AF3A37">
        <w:t xml:space="preserve"> (NLFS)</w:t>
      </w:r>
      <w:r>
        <w:t xml:space="preserve"> of Moldova and the statistics generated from it have been subject to different changes since </w:t>
      </w:r>
      <w:r w:rsidR="001E0AF5">
        <w:t xml:space="preserve">the beginning </w:t>
      </w:r>
      <w:r>
        <w:t xml:space="preserve">2018. The purpose of these changes is to make best use of the most up to date information available, particularly from the 2014 Census of Population, and to incorporate the latest international standards on labour statistics. </w:t>
      </w:r>
    </w:p>
    <w:p w:rsidR="009A2E93" w:rsidRPr="00E17F1F" w:rsidRDefault="00F87967" w:rsidP="004400A7">
      <w:pPr>
        <w:jc w:val="both"/>
        <w:rPr>
          <w:b/>
          <w:sz w:val="28"/>
        </w:rPr>
      </w:pPr>
      <w:r>
        <w:rPr>
          <w:b/>
          <w:sz w:val="28"/>
        </w:rPr>
        <w:t>1.1</w:t>
      </w:r>
      <w:r>
        <w:rPr>
          <w:b/>
          <w:sz w:val="28"/>
        </w:rPr>
        <w:tab/>
      </w:r>
      <w:r w:rsidR="00820478" w:rsidRPr="00E17F1F">
        <w:rPr>
          <w:b/>
          <w:sz w:val="28"/>
        </w:rPr>
        <w:t>Changes introduced to NLFS:</w:t>
      </w:r>
    </w:p>
    <w:p w:rsidR="009A2E93" w:rsidRDefault="00AF3A37" w:rsidP="004400A7">
      <w:pPr>
        <w:jc w:val="both"/>
      </w:pPr>
      <w:r>
        <w:t xml:space="preserve">Three important changes have been made to the methodology of the labour force survey </w:t>
      </w:r>
      <w:r w:rsidR="001E0AF5">
        <w:t>that</w:t>
      </w:r>
      <w:r>
        <w:t xml:space="preserve"> have impacted the results generated in 2018 and 2019. </w:t>
      </w:r>
    </w:p>
    <w:p w:rsidR="00AF3A37" w:rsidRDefault="00AF3A37" w:rsidP="00AF3A37">
      <w:pPr>
        <w:pStyle w:val="a7"/>
        <w:numPr>
          <w:ilvl w:val="0"/>
          <w:numId w:val="1"/>
        </w:numPr>
        <w:jc w:val="both"/>
      </w:pPr>
      <w:r w:rsidRPr="00AF3A37">
        <w:rPr>
          <w:b/>
        </w:rPr>
        <w:t>Introduction of updated statistical standards adopted at the 19</w:t>
      </w:r>
      <w:r w:rsidRPr="00AF3A37">
        <w:rPr>
          <w:b/>
          <w:vertAlign w:val="superscript"/>
        </w:rPr>
        <w:t>th</w:t>
      </w:r>
      <w:r w:rsidRPr="00AF3A37">
        <w:rPr>
          <w:b/>
        </w:rPr>
        <w:t xml:space="preserve"> International Conference of Labour Statisticians (ICLS)</w:t>
      </w:r>
      <w:r>
        <w:rPr>
          <w:b/>
        </w:rPr>
        <w:t>:</w:t>
      </w:r>
      <w:r>
        <w:t xml:space="preserve"> In 2013 the international community agreed standards which provide updated definitions for key statistics on employment, unemployment and related statistics on labour. In </w:t>
      </w:r>
      <w:r w:rsidR="001E0AF5">
        <w:t xml:space="preserve">the first quarter of </w:t>
      </w:r>
      <w:r>
        <w:t xml:space="preserve">2018 changes were made to the </w:t>
      </w:r>
      <w:r w:rsidR="00EB4EC3">
        <w:t xml:space="preserve">LFS </w:t>
      </w:r>
      <w:r>
        <w:t>questionnaire of Moldova to apply the latest standards.</w:t>
      </w:r>
    </w:p>
    <w:p w:rsidR="00AF3A37" w:rsidRDefault="00E078E0" w:rsidP="00AF3A37">
      <w:pPr>
        <w:pStyle w:val="a7"/>
        <w:numPr>
          <w:ilvl w:val="0"/>
          <w:numId w:val="1"/>
        </w:numPr>
        <w:jc w:val="both"/>
      </w:pPr>
      <w:r>
        <w:rPr>
          <w:b/>
        </w:rPr>
        <w:t>Population estimate revisions and c</w:t>
      </w:r>
      <w:r w:rsidR="00AF3A37">
        <w:rPr>
          <w:b/>
        </w:rPr>
        <w:t xml:space="preserve">hange in the reference </w:t>
      </w:r>
      <w:r w:rsidR="00F87967">
        <w:rPr>
          <w:b/>
        </w:rPr>
        <w:t>population concept</w:t>
      </w:r>
      <w:r w:rsidR="00AF3A37">
        <w:rPr>
          <w:b/>
        </w:rPr>
        <w:t xml:space="preserve">: </w:t>
      </w:r>
      <w:r w:rsidR="00AF3A37">
        <w:t>Estimates of the population are used to weight the results from the LFS. In 201</w:t>
      </w:r>
      <w:r w:rsidR="00A25456">
        <w:t>9</w:t>
      </w:r>
      <w:r w:rsidR="00AF3A37">
        <w:t xml:space="preserve"> the populat</w:t>
      </w:r>
      <w:r w:rsidR="001E0AF5">
        <w:t>ion definition used changed to come</w:t>
      </w:r>
      <w:r w:rsidR="00AF3A37">
        <w:t xml:space="preserve"> in</w:t>
      </w:r>
      <w:r w:rsidR="001E0AF5">
        <w:t>to</w:t>
      </w:r>
      <w:r w:rsidR="00AF3A37">
        <w:t xml:space="preserve"> line with </w:t>
      </w:r>
      <w:r w:rsidR="001E0AF5">
        <w:t xml:space="preserve">typical </w:t>
      </w:r>
      <w:r w:rsidR="00AF3A37">
        <w:t>international practices.</w:t>
      </w:r>
      <w:r w:rsidR="00C61785">
        <w:t xml:space="preserve"> At the same time the population estimates being used were updated to take into account information from the 2014 Census of Population.</w:t>
      </w:r>
    </w:p>
    <w:p w:rsidR="00AF3A37" w:rsidRDefault="00AF3A37" w:rsidP="00AF3A37">
      <w:pPr>
        <w:pStyle w:val="a7"/>
        <w:numPr>
          <w:ilvl w:val="0"/>
          <w:numId w:val="1"/>
        </w:numPr>
        <w:jc w:val="both"/>
      </w:pPr>
      <w:r>
        <w:rPr>
          <w:b/>
        </w:rPr>
        <w:t xml:space="preserve">Change in sampling design and frame: </w:t>
      </w:r>
      <w:r>
        <w:t>Using information from the 2014 Census of Population the sample of households interviewed for the NLFS has</w:t>
      </w:r>
      <w:r w:rsidR="005D0FB1">
        <w:t xml:space="preserve"> been updated  to ensure it is up to date and representative.</w:t>
      </w:r>
      <w:r w:rsidR="001E0AF5">
        <w:t xml:space="preserve"> The sampling methodology has also been updated. These changes were introduced in the first quarter of 2019.</w:t>
      </w:r>
    </w:p>
    <w:p w:rsidR="00A74A8F" w:rsidRDefault="00A74A8F" w:rsidP="00A74A8F">
      <w:pPr>
        <w:jc w:val="both"/>
      </w:pPr>
      <w:r>
        <w:t xml:space="preserve">Each of these changes has had an impact on the results generated from the NLFS. The methodological changes are explained in more detail in the </w:t>
      </w:r>
      <w:r w:rsidRPr="00897F20">
        <w:t>annex</w:t>
      </w:r>
      <w:r>
        <w:t xml:space="preserve"> to this note. For the remainder of the note we will focus on illustrating the impact of the changes on published statistics. </w:t>
      </w:r>
    </w:p>
    <w:p w:rsidR="008B2A8E" w:rsidRDefault="00A25456" w:rsidP="005D0FB1">
      <w:pPr>
        <w:jc w:val="both"/>
      </w:pPr>
      <w:r>
        <w:t>The N</w:t>
      </w:r>
      <w:r w:rsidR="00310AA5">
        <w:t xml:space="preserve">ational </w:t>
      </w:r>
      <w:r>
        <w:t>B</w:t>
      </w:r>
      <w:r w:rsidR="0022556D">
        <w:t>ureau</w:t>
      </w:r>
      <w:r w:rsidR="00310AA5">
        <w:t xml:space="preserve"> of </w:t>
      </w:r>
      <w:r>
        <w:t>S</w:t>
      </w:r>
      <w:r w:rsidR="00310AA5">
        <w:t>tatistics (NBS)</w:t>
      </w:r>
      <w:r>
        <w:t xml:space="preserve"> continued to publish labour market statistics applying the old standards and population estimates up to Q4 2018. In Q1 2019 the new series with all the methodological changes included were published. In addition recalculations were made for </w:t>
      </w:r>
      <w:r w:rsidR="00410F10">
        <w:t>2017-</w:t>
      </w:r>
      <w:r>
        <w:t>2018</w:t>
      </w:r>
      <w:r w:rsidR="00410F10">
        <w:t xml:space="preserve">, </w:t>
      </w:r>
      <w:r w:rsidR="00410F10" w:rsidRPr="00410F10">
        <w:t>taking into account the new definition of the population</w:t>
      </w:r>
      <w:r w:rsidR="00962E60">
        <w:rPr>
          <w:rStyle w:val="a5"/>
        </w:rPr>
        <w:footnoteReference w:id="3"/>
      </w:r>
      <w:r w:rsidR="00A74A8F">
        <w:t xml:space="preserve">. </w:t>
      </w:r>
      <w:r w:rsidR="00F36EE3">
        <w:t xml:space="preserve">Section 2 of this note is based on a comparison of the old and new series using the 2018 data. </w:t>
      </w:r>
      <w:r w:rsidR="008B2A8E">
        <w:t xml:space="preserve">This type of comparative approach has been used in many countries to estimate the impact of changes in statistical series. </w:t>
      </w:r>
    </w:p>
    <w:p w:rsidR="001E0AF5" w:rsidRDefault="00F36EE3" w:rsidP="005D0FB1">
      <w:pPr>
        <w:jc w:val="both"/>
      </w:pPr>
      <w:r>
        <w:t>F</w:t>
      </w:r>
      <w:r w:rsidR="001E0AF5">
        <w:t>or the change in sampling design and frame no direct estim</w:t>
      </w:r>
      <w:r w:rsidR="004653B9">
        <w:t>ation of the impact is possible as there was no period where both the old and new sample were in use simultaneously. Nonetheless</w:t>
      </w:r>
      <w:r>
        <w:t>,</w:t>
      </w:r>
      <w:r w:rsidR="004653B9">
        <w:t xml:space="preserve"> the </w:t>
      </w:r>
      <w:r w:rsidR="004653B9">
        <w:lastRenderedPageBreak/>
        <w:t>expected impact is discussed in general terms later in the report</w:t>
      </w:r>
      <w:r w:rsidR="00960952">
        <w:t xml:space="preserve"> (see section 3)</w:t>
      </w:r>
      <w:r w:rsidR="004653B9">
        <w:t>.</w:t>
      </w:r>
      <w:r w:rsidR="00FD0B4E">
        <w:t xml:space="preserve"> Section 4 outlines the additional analysis enabled when the new standards are applied.</w:t>
      </w:r>
    </w:p>
    <w:p w:rsidR="000071FC" w:rsidRPr="00F87967" w:rsidRDefault="000071FC" w:rsidP="00F87967">
      <w:pPr>
        <w:pStyle w:val="a7"/>
        <w:numPr>
          <w:ilvl w:val="0"/>
          <w:numId w:val="5"/>
        </w:numPr>
        <w:jc w:val="both"/>
        <w:rPr>
          <w:b/>
          <w:sz w:val="28"/>
        </w:rPr>
      </w:pPr>
      <w:r w:rsidRPr="00F87967">
        <w:rPr>
          <w:b/>
          <w:sz w:val="28"/>
        </w:rPr>
        <w:t>Impacts of the changes</w:t>
      </w:r>
      <w:r w:rsidR="004653B9" w:rsidRPr="00F87967">
        <w:rPr>
          <w:b/>
          <w:sz w:val="28"/>
        </w:rPr>
        <w:t xml:space="preserve"> – introduction of new standards and change in population </w:t>
      </w:r>
      <w:r w:rsidR="00D16222">
        <w:rPr>
          <w:b/>
          <w:sz w:val="28"/>
        </w:rPr>
        <w:t xml:space="preserve">definition and </w:t>
      </w:r>
      <w:r w:rsidR="00F87967" w:rsidRPr="00F87967">
        <w:rPr>
          <w:b/>
          <w:sz w:val="28"/>
        </w:rPr>
        <w:t>estimate</w:t>
      </w:r>
      <w:r w:rsidR="00D16222">
        <w:rPr>
          <w:b/>
          <w:sz w:val="28"/>
        </w:rPr>
        <w:t>s</w:t>
      </w:r>
    </w:p>
    <w:p w:rsidR="000071FC" w:rsidRDefault="000071FC" w:rsidP="001D71EF">
      <w:pPr>
        <w:jc w:val="both"/>
      </w:pPr>
      <w:r>
        <w:t xml:space="preserve">In the section we attempt to explain the impact of the different changes on key indicators. </w:t>
      </w:r>
      <w:r w:rsidR="0029634E">
        <w:t>While all indicators derived from the LFS are impacted by the changes, in the interests of clarity, the</w:t>
      </w:r>
      <w:r>
        <w:t xml:space="preserve"> main focus</w:t>
      </w:r>
      <w:r w:rsidR="0029634E">
        <w:t xml:space="preserve"> of this note</w:t>
      </w:r>
      <w:r>
        <w:t xml:space="preserve"> is on estimates </w:t>
      </w:r>
      <w:r w:rsidR="0029634E">
        <w:t>of employment and unemployment.</w:t>
      </w:r>
      <w:r w:rsidR="00A871A8">
        <w:t xml:space="preserve"> We will start the analysis by looking </w:t>
      </w:r>
      <w:r w:rsidR="006F7607">
        <w:t xml:space="preserve">just </w:t>
      </w:r>
      <w:r w:rsidR="00A871A8">
        <w:t>at the impact of the introduction of the new statistical standards agreed at the 19</w:t>
      </w:r>
      <w:r w:rsidR="00A871A8" w:rsidRPr="00A871A8">
        <w:rPr>
          <w:vertAlign w:val="superscript"/>
        </w:rPr>
        <w:t>th</w:t>
      </w:r>
      <w:r w:rsidR="00A871A8">
        <w:t xml:space="preserve"> ICLS. </w:t>
      </w:r>
      <w:r w:rsidR="006F7607">
        <w:t>The impact of the population definitions and estimates, and the overall difference between the old and new series is discussed in section 2.2.</w:t>
      </w:r>
    </w:p>
    <w:p w:rsidR="00A871A8" w:rsidRPr="00A871A8" w:rsidRDefault="00F87967" w:rsidP="001D71EF">
      <w:pPr>
        <w:jc w:val="both"/>
        <w:rPr>
          <w:b/>
          <w:sz w:val="24"/>
        </w:rPr>
      </w:pPr>
      <w:r>
        <w:rPr>
          <w:b/>
          <w:sz w:val="24"/>
        </w:rPr>
        <w:t>2.1</w:t>
      </w:r>
      <w:r>
        <w:rPr>
          <w:b/>
          <w:sz w:val="24"/>
        </w:rPr>
        <w:tab/>
      </w:r>
      <w:r w:rsidR="00A871A8" w:rsidRPr="00A871A8">
        <w:rPr>
          <w:b/>
          <w:sz w:val="24"/>
        </w:rPr>
        <w:t>Impact of the introduction of the 19</w:t>
      </w:r>
      <w:r w:rsidR="00A871A8" w:rsidRPr="00A871A8">
        <w:rPr>
          <w:b/>
          <w:sz w:val="24"/>
          <w:vertAlign w:val="superscript"/>
        </w:rPr>
        <w:t>th</w:t>
      </w:r>
      <w:r w:rsidR="00A871A8" w:rsidRPr="00A871A8">
        <w:rPr>
          <w:b/>
          <w:sz w:val="24"/>
        </w:rPr>
        <w:t xml:space="preserve"> ICLS standards</w:t>
      </w:r>
    </w:p>
    <w:p w:rsidR="00CB20F5" w:rsidRDefault="00F87967" w:rsidP="001D71EF">
      <w:pPr>
        <w:jc w:val="both"/>
        <w:rPr>
          <w:b/>
          <w:i/>
        </w:rPr>
      </w:pPr>
      <w:r>
        <w:rPr>
          <w:b/>
          <w:i/>
        </w:rPr>
        <w:t>2.1.1</w:t>
      </w:r>
      <w:r>
        <w:rPr>
          <w:b/>
          <w:i/>
        </w:rPr>
        <w:tab/>
      </w:r>
      <w:r w:rsidR="00CB20F5">
        <w:rPr>
          <w:b/>
          <w:i/>
        </w:rPr>
        <w:t>Impact of the new standards on employment estimates</w:t>
      </w:r>
    </w:p>
    <w:p w:rsidR="00913C4D" w:rsidRDefault="0029634E" w:rsidP="001D71EF">
      <w:pPr>
        <w:jc w:val="both"/>
      </w:pPr>
      <w:r>
        <w:t>In the case of the introduction of the 19</w:t>
      </w:r>
      <w:r w:rsidRPr="0029634E">
        <w:rPr>
          <w:vertAlign w:val="superscript"/>
        </w:rPr>
        <w:t>th</w:t>
      </w:r>
      <w:r>
        <w:t xml:space="preserve"> ICLS standards the reduction in the employment estimate is the expected outcome. As explained in more detail in the annex</w:t>
      </w:r>
      <w:r w:rsidR="00897F20">
        <w:t>,</w:t>
      </w:r>
      <w:r>
        <w:t xml:space="preserve"> one of the major changes introduced with the new standards is to create a narrower definition of employment, along with additional forms of work for separate measurement. Specifically, some unpaid activities, such as work done to produce foodstuff for family consumption, used to be included in employment. Under the new standards they are considered “own-use production work” and not part of employment. This </w:t>
      </w:r>
      <w:r w:rsidR="008F59F4">
        <w:t>kind of activity, in particular farming to grow food for the family, is common in Moldova,</w:t>
      </w:r>
      <w:r>
        <w:t xml:space="preserve"> and it was included in the employment estimate</w:t>
      </w:r>
      <w:r w:rsidR="00615875">
        <w:t xml:space="preserve"> published</w:t>
      </w:r>
      <w:r>
        <w:t xml:space="preserve"> under the old standards</w:t>
      </w:r>
      <w:r w:rsidR="009F2916">
        <w:t xml:space="preserve"> if the people worked more than 20 hours. </w:t>
      </w:r>
    </w:p>
    <w:p w:rsidR="006F7607" w:rsidRDefault="006F7607" w:rsidP="006F7607">
      <w:pPr>
        <w:jc w:val="both"/>
      </w:pPr>
      <w:r>
        <w:t>Th</w:t>
      </w:r>
      <w:r w:rsidR="00EB4EC3">
        <w:t>e</w:t>
      </w:r>
      <w:r>
        <w:t xml:space="preserve"> change </w:t>
      </w:r>
      <w:r w:rsidR="009F2916">
        <w:t xml:space="preserve">in the standards </w:t>
      </w:r>
      <w:r>
        <w:t xml:space="preserve">was introduced as a reaction to demands for data that more clearly shows the different types of work people engage in, and to apply a definition of employment more closely linked to employment policy interests. </w:t>
      </w:r>
    </w:p>
    <w:p w:rsidR="0029634E" w:rsidRDefault="00913C4D" w:rsidP="001D71EF">
      <w:pPr>
        <w:jc w:val="both"/>
      </w:pPr>
      <w:r>
        <w:rPr>
          <w:i/>
        </w:rPr>
        <w:t>Number of persons employed</w:t>
      </w:r>
      <w:r w:rsidR="0029634E">
        <w:t xml:space="preserve"> </w:t>
      </w:r>
    </w:p>
    <w:p w:rsidR="00CB20F5" w:rsidRDefault="0029634E" w:rsidP="001D71EF">
      <w:pPr>
        <w:jc w:val="both"/>
      </w:pPr>
      <w:r>
        <w:t>The easiest way to illustrate the impact of th</w:t>
      </w:r>
      <w:r w:rsidR="006F7607">
        <w:t>e</w:t>
      </w:r>
      <w:r>
        <w:t xml:space="preserve"> change is to show how the series would have been if the introduction of the new standards was the only change made. This is illustrated in figure 3 and table 2 which show the data for 2018.</w:t>
      </w:r>
    </w:p>
    <w:p w:rsidR="0029634E" w:rsidRPr="00CB20F5" w:rsidRDefault="008F59F4" w:rsidP="008F59F4">
      <w:pPr>
        <w:jc w:val="center"/>
      </w:pPr>
      <w:r>
        <w:rPr>
          <w:noProof/>
          <w:lang w:val="ru-RU" w:eastAsia="ru-RU"/>
        </w:rPr>
        <w:drawing>
          <wp:inline distT="0" distB="0" distL="0" distR="0">
            <wp:extent cx="5249577" cy="2453750"/>
            <wp:effectExtent l="0" t="0" r="2730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Look w:val="04A0"/>
      </w:tblPr>
      <w:tblGrid>
        <w:gridCol w:w="3248"/>
        <w:gridCol w:w="1646"/>
        <w:gridCol w:w="1087"/>
        <w:gridCol w:w="1087"/>
        <w:gridCol w:w="1087"/>
        <w:gridCol w:w="1087"/>
      </w:tblGrid>
      <w:tr w:rsidR="008F59F4" w:rsidRPr="008F59F4" w:rsidTr="0022556D">
        <w:trPr>
          <w:trHeight w:val="321"/>
        </w:trPr>
        <w:tc>
          <w:tcPr>
            <w:tcW w:w="5000" w:type="pct"/>
            <w:gridSpan w:val="6"/>
            <w:tcBorders>
              <w:bottom w:val="single" w:sz="4" w:space="0" w:color="auto"/>
            </w:tcBorders>
            <w:shd w:val="clear" w:color="auto" w:fill="auto"/>
            <w:noWrap/>
            <w:vAlign w:val="bottom"/>
          </w:tcPr>
          <w:p w:rsidR="008F59F4" w:rsidRDefault="008F59F4" w:rsidP="008F59F4">
            <w:pPr>
              <w:spacing w:after="0" w:line="240" w:lineRule="auto"/>
              <w:rPr>
                <w:b/>
                <w:bCs/>
                <w:sz w:val="20"/>
              </w:rPr>
            </w:pPr>
            <w:r w:rsidRPr="001E0AF5">
              <w:rPr>
                <w:b/>
                <w:bCs/>
                <w:sz w:val="20"/>
              </w:rPr>
              <w:lastRenderedPageBreak/>
              <w:t xml:space="preserve">Table </w:t>
            </w:r>
            <w:r>
              <w:rPr>
                <w:b/>
                <w:bCs/>
                <w:sz w:val="20"/>
              </w:rPr>
              <w:t>2</w:t>
            </w:r>
            <w:r w:rsidRPr="001E0AF5">
              <w:rPr>
                <w:b/>
                <w:bCs/>
                <w:sz w:val="20"/>
              </w:rPr>
              <w:t xml:space="preserve"> </w:t>
            </w:r>
            <w:r>
              <w:rPr>
                <w:b/>
                <w:bCs/>
                <w:sz w:val="20"/>
              </w:rPr>
              <w:t>–</w:t>
            </w:r>
            <w:r w:rsidRPr="001E0AF5">
              <w:rPr>
                <w:b/>
                <w:bCs/>
                <w:sz w:val="20"/>
              </w:rPr>
              <w:t xml:space="preserve"> Employment</w:t>
            </w:r>
            <w:r>
              <w:rPr>
                <w:b/>
                <w:bCs/>
                <w:sz w:val="20"/>
              </w:rPr>
              <w:t>: impact of introduction of new standards</w:t>
            </w:r>
            <w:r w:rsidRPr="001E0AF5">
              <w:rPr>
                <w:b/>
                <w:bCs/>
                <w:sz w:val="20"/>
              </w:rPr>
              <w:t xml:space="preserve"> </w:t>
            </w:r>
            <w:r>
              <w:rPr>
                <w:b/>
                <w:bCs/>
                <w:sz w:val="20"/>
              </w:rPr>
              <w:t>–</w:t>
            </w:r>
            <w:r w:rsidRPr="001E0AF5">
              <w:rPr>
                <w:b/>
                <w:bCs/>
                <w:sz w:val="20"/>
              </w:rPr>
              <w:t xml:space="preserve"> Q</w:t>
            </w:r>
            <w:r>
              <w:rPr>
                <w:b/>
                <w:bCs/>
                <w:sz w:val="20"/>
              </w:rPr>
              <w:t>1</w:t>
            </w:r>
            <w:r w:rsidRPr="001E0AF5">
              <w:rPr>
                <w:b/>
                <w:bCs/>
                <w:sz w:val="20"/>
              </w:rPr>
              <w:t xml:space="preserve"> 201</w:t>
            </w:r>
            <w:r>
              <w:rPr>
                <w:b/>
                <w:bCs/>
                <w:sz w:val="20"/>
              </w:rPr>
              <w:t>8</w:t>
            </w:r>
            <w:r w:rsidRPr="001E0AF5">
              <w:rPr>
                <w:b/>
                <w:bCs/>
                <w:sz w:val="20"/>
              </w:rPr>
              <w:t xml:space="preserve"> to Q4 2018</w:t>
            </w:r>
          </w:p>
          <w:p w:rsidR="00923D59" w:rsidRPr="008F59F4" w:rsidRDefault="00923D59" w:rsidP="008F59F4">
            <w:pPr>
              <w:spacing w:after="0" w:line="240" w:lineRule="auto"/>
              <w:rPr>
                <w:rFonts w:ascii="Calibri" w:eastAsia="Times New Roman" w:hAnsi="Calibri" w:cs="Calibri"/>
                <w:color w:val="000000"/>
                <w:sz w:val="20"/>
                <w:szCs w:val="20"/>
                <w:lang w:eastAsia="en-GB"/>
              </w:rPr>
            </w:pPr>
          </w:p>
        </w:tc>
      </w:tr>
      <w:tr w:rsidR="008F59F4" w:rsidRPr="008F59F4" w:rsidTr="0022556D">
        <w:trPr>
          <w:trHeight w:val="525"/>
        </w:trPr>
        <w:tc>
          <w:tcPr>
            <w:tcW w:w="1757" w:type="pct"/>
            <w:tcBorders>
              <w:top w:val="single" w:sz="4" w:space="0" w:color="auto"/>
              <w:left w:val="single" w:sz="4" w:space="0" w:color="auto"/>
              <w:bottom w:val="nil"/>
              <w:right w:val="single" w:sz="4" w:space="0" w:color="auto"/>
            </w:tcBorders>
            <w:shd w:val="clear" w:color="auto" w:fill="auto"/>
            <w:noWrap/>
            <w:vAlign w:val="bottom"/>
            <w:hideMark/>
          </w:tcPr>
          <w:p w:rsidR="008F59F4" w:rsidRPr="008F59F4" w:rsidRDefault="008F59F4" w:rsidP="008F59F4">
            <w:pPr>
              <w:spacing w:after="0" w:line="240" w:lineRule="auto"/>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 </w:t>
            </w:r>
          </w:p>
        </w:tc>
        <w:tc>
          <w:tcPr>
            <w:tcW w:w="891" w:type="pct"/>
            <w:tcBorders>
              <w:top w:val="single" w:sz="4" w:space="0" w:color="auto"/>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Q1 2018</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Q2 2018</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Q3 2018</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Q4 2018</w:t>
            </w:r>
          </w:p>
        </w:tc>
        <w:tc>
          <w:tcPr>
            <w:tcW w:w="589" w:type="pct"/>
            <w:tcBorders>
              <w:top w:val="single" w:sz="4" w:space="0" w:color="auto"/>
              <w:left w:val="nil"/>
              <w:bottom w:val="single" w:sz="4" w:space="0" w:color="auto"/>
              <w:right w:val="single" w:sz="4" w:space="0" w:color="auto"/>
            </w:tcBorders>
            <w:shd w:val="clear" w:color="auto" w:fill="auto"/>
            <w:vAlign w:val="bottom"/>
            <w:hideMark/>
          </w:tcPr>
          <w:p w:rsidR="008F59F4" w:rsidRPr="008F59F4" w:rsidRDefault="008F59F4" w:rsidP="008F59F4">
            <w:pPr>
              <w:spacing w:after="0" w:line="240" w:lineRule="auto"/>
              <w:jc w:val="center"/>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Annual Average 2018</w:t>
            </w:r>
          </w:p>
        </w:tc>
      </w:tr>
      <w:tr w:rsidR="008F59F4" w:rsidRPr="008F59F4" w:rsidTr="00DA4F56">
        <w:trPr>
          <w:trHeight w:val="300"/>
        </w:trPr>
        <w:tc>
          <w:tcPr>
            <w:tcW w:w="1757" w:type="pct"/>
            <w:tcBorders>
              <w:top w:val="nil"/>
              <w:left w:val="single" w:sz="4" w:space="0" w:color="auto"/>
              <w:bottom w:val="nil"/>
              <w:right w:val="single" w:sz="4" w:space="0" w:color="auto"/>
            </w:tcBorders>
            <w:shd w:val="clear" w:color="auto" w:fill="auto"/>
            <w:noWrap/>
            <w:vAlign w:val="bottom"/>
            <w:hideMark/>
          </w:tcPr>
          <w:p w:rsidR="008F59F4" w:rsidRPr="008F59F4" w:rsidRDefault="008F59F4" w:rsidP="008F59F4">
            <w:pPr>
              <w:spacing w:after="0" w:line="240" w:lineRule="auto"/>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 </w:t>
            </w:r>
          </w:p>
        </w:tc>
        <w:tc>
          <w:tcPr>
            <w:tcW w:w="3243"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F59F4" w:rsidRPr="008F59F4" w:rsidRDefault="008F59F4" w:rsidP="008F59F4">
            <w:pPr>
              <w:spacing w:after="0" w:line="240" w:lineRule="auto"/>
              <w:jc w:val="center"/>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000's</w:t>
            </w:r>
          </w:p>
        </w:tc>
      </w:tr>
      <w:tr w:rsidR="008F59F4" w:rsidRPr="008F59F4" w:rsidTr="00DA4F56">
        <w:trPr>
          <w:trHeight w:val="30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8F59F4" w:rsidRPr="008F59F4" w:rsidRDefault="00797C28">
            <w:pPr>
              <w:spacing w:after="0" w:line="240" w:lineRule="auto"/>
              <w:jc w:val="center"/>
              <w:rPr>
                <w:rFonts w:ascii="Calibri" w:eastAsia="Times New Roman" w:hAnsi="Calibri" w:cs="Calibri"/>
                <w:b/>
                <w:bCs/>
                <w:color w:val="000000"/>
                <w:sz w:val="20"/>
                <w:szCs w:val="20"/>
                <w:lang w:eastAsia="en-GB"/>
              </w:rPr>
            </w:pPr>
            <w:r w:rsidRPr="007B00BF">
              <w:rPr>
                <w:b/>
                <w:bCs/>
              </w:rPr>
              <w:t>Old standards, stable population</w:t>
            </w:r>
            <w:r w:rsidR="00310AA5">
              <w:rPr>
                <w:b/>
                <w:bCs/>
              </w:rPr>
              <w:t xml:space="preserve"> </w:t>
            </w:r>
          </w:p>
        </w:tc>
        <w:tc>
          <w:tcPr>
            <w:tcW w:w="891"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1,124.6</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1,343.4</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1,377.3</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1,163.6</w:t>
            </w:r>
          </w:p>
        </w:tc>
        <w:tc>
          <w:tcPr>
            <w:tcW w:w="589"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1,252.2</w:t>
            </w:r>
          </w:p>
        </w:tc>
      </w:tr>
      <w:tr w:rsidR="008F59F4" w:rsidRPr="008F59F4" w:rsidTr="00DA4F56">
        <w:trPr>
          <w:trHeight w:val="76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8F59F4" w:rsidRPr="008F59F4" w:rsidRDefault="008F59F4" w:rsidP="00310AA5">
            <w:pPr>
              <w:spacing w:after="0" w:line="240" w:lineRule="auto"/>
              <w:jc w:val="center"/>
              <w:rPr>
                <w:rFonts w:ascii="Calibri" w:eastAsia="Times New Roman" w:hAnsi="Calibri" w:cs="Calibri"/>
                <w:b/>
                <w:bCs/>
                <w:color w:val="000000"/>
                <w:sz w:val="20"/>
                <w:szCs w:val="20"/>
                <w:lang w:eastAsia="en-GB"/>
              </w:rPr>
            </w:pPr>
            <w:r w:rsidRPr="008F59F4">
              <w:rPr>
                <w:rFonts w:ascii="Calibri" w:eastAsia="Times New Roman" w:hAnsi="Calibri" w:cs="Calibri"/>
                <w:b/>
                <w:bCs/>
                <w:color w:val="000000"/>
                <w:sz w:val="20"/>
                <w:szCs w:val="20"/>
                <w:lang w:eastAsia="en-GB"/>
              </w:rPr>
              <w:t xml:space="preserve">New standards, </w:t>
            </w:r>
            <w:r w:rsidR="00310AA5">
              <w:rPr>
                <w:rFonts w:ascii="Calibri" w:eastAsia="Times New Roman" w:hAnsi="Calibri" w:cs="Calibri"/>
                <w:b/>
                <w:bCs/>
                <w:color w:val="000000"/>
                <w:sz w:val="20"/>
                <w:szCs w:val="20"/>
                <w:lang w:eastAsia="en-GB"/>
              </w:rPr>
              <w:t>stable population</w:t>
            </w:r>
          </w:p>
        </w:tc>
        <w:tc>
          <w:tcPr>
            <w:tcW w:w="891"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963.6</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1,069.6</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1,093.9</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986.0</w:t>
            </w:r>
          </w:p>
        </w:tc>
        <w:tc>
          <w:tcPr>
            <w:tcW w:w="589"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1,028.3</w:t>
            </w:r>
          </w:p>
        </w:tc>
      </w:tr>
      <w:tr w:rsidR="008F59F4" w:rsidRPr="008F59F4" w:rsidTr="00DA4F56">
        <w:trPr>
          <w:trHeight w:val="300"/>
        </w:trPr>
        <w:tc>
          <w:tcPr>
            <w:tcW w:w="1757" w:type="pct"/>
            <w:tcBorders>
              <w:top w:val="nil"/>
              <w:left w:val="single" w:sz="4" w:space="0" w:color="auto"/>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rPr>
                <w:rFonts w:ascii="Calibri" w:eastAsia="Times New Roman" w:hAnsi="Calibri" w:cs="Calibri"/>
                <w:b/>
                <w:bCs/>
                <w:color w:val="000000"/>
                <w:sz w:val="20"/>
                <w:szCs w:val="20"/>
                <w:lang w:eastAsia="en-GB"/>
              </w:rPr>
            </w:pPr>
            <w:r w:rsidRPr="008F59F4">
              <w:rPr>
                <w:rFonts w:ascii="Calibri" w:eastAsia="Times New Roman" w:hAnsi="Calibri" w:cs="Calibri"/>
                <w:b/>
                <w:bCs/>
                <w:color w:val="000000"/>
                <w:sz w:val="20"/>
                <w:szCs w:val="20"/>
                <w:lang w:eastAsia="en-GB"/>
              </w:rPr>
              <w:t xml:space="preserve">Difference </w:t>
            </w:r>
            <w:r>
              <w:rPr>
                <w:rFonts w:ascii="Calibri" w:eastAsia="Times New Roman" w:hAnsi="Calibri" w:cs="Calibri"/>
                <w:b/>
                <w:bCs/>
                <w:color w:val="000000"/>
                <w:sz w:val="20"/>
                <w:szCs w:val="20"/>
                <w:lang w:eastAsia="en-GB"/>
              </w:rPr>
              <w:t>due to new standards</w:t>
            </w:r>
            <w:r w:rsidRPr="008F59F4">
              <w:rPr>
                <w:rFonts w:ascii="Calibri" w:eastAsia="Times New Roman" w:hAnsi="Calibri" w:cs="Calibri"/>
                <w:b/>
                <w:bCs/>
                <w:color w:val="000000"/>
                <w:sz w:val="20"/>
                <w:szCs w:val="20"/>
                <w:lang w:eastAsia="en-GB"/>
              </w:rPr>
              <w:t xml:space="preserve"> (%)</w:t>
            </w:r>
          </w:p>
        </w:tc>
        <w:tc>
          <w:tcPr>
            <w:tcW w:w="891"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-14</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-20</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-21</w:t>
            </w:r>
          </w:p>
        </w:tc>
        <w:tc>
          <w:tcPr>
            <w:tcW w:w="588"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-15</w:t>
            </w:r>
          </w:p>
        </w:tc>
        <w:tc>
          <w:tcPr>
            <w:tcW w:w="589" w:type="pct"/>
            <w:tcBorders>
              <w:top w:val="nil"/>
              <w:left w:val="nil"/>
              <w:bottom w:val="single" w:sz="4" w:space="0" w:color="auto"/>
              <w:right w:val="single" w:sz="4" w:space="0" w:color="auto"/>
            </w:tcBorders>
            <w:shd w:val="clear" w:color="auto" w:fill="auto"/>
            <w:noWrap/>
            <w:vAlign w:val="bottom"/>
            <w:hideMark/>
          </w:tcPr>
          <w:p w:rsidR="008F59F4" w:rsidRPr="008F59F4" w:rsidRDefault="008F59F4" w:rsidP="008F59F4">
            <w:pPr>
              <w:spacing w:after="0" w:line="240" w:lineRule="auto"/>
              <w:jc w:val="right"/>
              <w:rPr>
                <w:rFonts w:ascii="Calibri" w:eastAsia="Times New Roman" w:hAnsi="Calibri" w:cs="Calibri"/>
                <w:color w:val="000000"/>
                <w:sz w:val="20"/>
                <w:szCs w:val="20"/>
                <w:lang w:eastAsia="en-GB"/>
              </w:rPr>
            </w:pPr>
            <w:r w:rsidRPr="008F59F4">
              <w:rPr>
                <w:rFonts w:ascii="Calibri" w:eastAsia="Times New Roman" w:hAnsi="Calibri" w:cs="Calibri"/>
                <w:color w:val="000000"/>
                <w:sz w:val="20"/>
                <w:szCs w:val="20"/>
                <w:lang w:eastAsia="en-GB"/>
              </w:rPr>
              <w:t>-18</w:t>
            </w:r>
          </w:p>
        </w:tc>
      </w:tr>
    </w:tbl>
    <w:p w:rsidR="00D85CD1" w:rsidRDefault="00D85CD1" w:rsidP="001D71EF">
      <w:pPr>
        <w:jc w:val="both"/>
      </w:pPr>
    </w:p>
    <w:p w:rsidR="000674D9" w:rsidRDefault="008F59F4" w:rsidP="001D71EF">
      <w:pPr>
        <w:jc w:val="both"/>
      </w:pPr>
      <w:r>
        <w:t xml:space="preserve">As can be seen the </w:t>
      </w:r>
      <w:r w:rsidR="00615875">
        <w:t xml:space="preserve">level of employment recorded using the new standards was on average 18% lower in 2018 than the old series. This difference precisely relates to people who were doing farming to produce foodstuff for family consumption, and are no longer included in employment. </w:t>
      </w:r>
      <w:r w:rsidR="000674D9">
        <w:t>Another way of putting this is that 18% of those who were employed under the old standards were doing farming work to produce foodstuff for family consumption</w:t>
      </w:r>
      <w:r w:rsidR="009F2916">
        <w:t xml:space="preserve"> for more than 20 hours in the reference week, </w:t>
      </w:r>
      <w:r w:rsidR="000674D9">
        <w:t>with no other job.</w:t>
      </w:r>
    </w:p>
    <w:p w:rsidR="008F59F4" w:rsidRDefault="00615875" w:rsidP="001D71EF">
      <w:pPr>
        <w:jc w:val="both"/>
      </w:pPr>
      <w:r>
        <w:t>The level of impact was different across the quarters of the year due to the seasonal nature of agricultural work. Quarter 1 and Quarter 4 are the periods when there is least agricultural work meaning the difference was relatively lower (14% or 15% respectively). During the peak agricultural period (Quarter 2 and Quarter 3) the difference was 20% or more.</w:t>
      </w:r>
    </w:p>
    <w:p w:rsidR="00615875" w:rsidRPr="00992593" w:rsidRDefault="00615875" w:rsidP="001D71EF">
      <w:pPr>
        <w:jc w:val="both"/>
      </w:pPr>
      <w:r>
        <w:t xml:space="preserve">We can repeat this analysis for different subgroups of the population to show where the impact is greatest. </w:t>
      </w:r>
      <w:r w:rsidR="00AE771C">
        <w:t>Essentially this shows that the impact is largest among groups who are more typically doing farming work. Table 3 shows the comparison for a selection of subgroups based on the 2018 average.</w:t>
      </w:r>
      <w:r w:rsidR="00992593">
        <w:t xml:space="preserve"> Firstly, we when look at the sectors of activity we see that as expected the entire difference is shown in the </w:t>
      </w:r>
      <w:r w:rsidR="00992593">
        <w:rPr>
          <w:i/>
        </w:rPr>
        <w:t xml:space="preserve">Agriculture, forestry and fishing </w:t>
      </w:r>
      <w:r w:rsidR="00992593">
        <w:t>sector. Under the old standards the average employment level in this sector for 2018 was 452,000, under the new standards it is approximately half (228,100). Other points to note include:</w:t>
      </w:r>
    </w:p>
    <w:p w:rsidR="007B00BF" w:rsidRDefault="007B00BF" w:rsidP="007B00BF">
      <w:pPr>
        <w:pStyle w:val="a7"/>
        <w:numPr>
          <w:ilvl w:val="0"/>
          <w:numId w:val="4"/>
        </w:numPr>
        <w:jc w:val="both"/>
      </w:pPr>
      <w:r>
        <w:t xml:space="preserve">The impact was </w:t>
      </w:r>
      <w:r w:rsidR="00D85CD1">
        <w:t>the same</w:t>
      </w:r>
      <w:r>
        <w:t xml:space="preserve"> for males and females (18% reduction each). </w:t>
      </w:r>
    </w:p>
    <w:p w:rsidR="001C6661" w:rsidRDefault="007B00BF" w:rsidP="007B00BF">
      <w:pPr>
        <w:pStyle w:val="a7"/>
        <w:numPr>
          <w:ilvl w:val="0"/>
          <w:numId w:val="4"/>
        </w:numPr>
        <w:jc w:val="both"/>
      </w:pPr>
      <w:r>
        <w:t>By age group in volume terms the greatest impact was in the 25 to 54 year age group</w:t>
      </w:r>
      <w:r w:rsidR="00D85CD1">
        <w:t xml:space="preserve"> (-114,000)</w:t>
      </w:r>
      <w:r>
        <w:t xml:space="preserve">, which covers the majority of all employed. However, proportionally the greatest impact was in the older age groups where a larger proportion were doing agricultural work to produce foodstuff for the family, previously counted as employment. </w:t>
      </w:r>
    </w:p>
    <w:p w:rsidR="007B00BF" w:rsidRDefault="007B00BF" w:rsidP="007B00BF">
      <w:pPr>
        <w:pStyle w:val="a7"/>
        <w:numPr>
          <w:ilvl w:val="0"/>
          <w:numId w:val="4"/>
        </w:numPr>
        <w:jc w:val="both"/>
      </w:pPr>
      <w:r>
        <w:t>Unsurprisingly almost all of the impact is seen in the employment estimate for rural areas, which reduced by 210,900 or 29%, with only a minor reducti</w:t>
      </w:r>
      <w:r w:rsidR="001C6661">
        <w:t>on in urban areas (-2%).</w:t>
      </w:r>
    </w:p>
    <w:p w:rsidR="001C6661" w:rsidRDefault="001C6661" w:rsidP="007B00BF">
      <w:pPr>
        <w:pStyle w:val="a7"/>
        <w:numPr>
          <w:ilvl w:val="0"/>
          <w:numId w:val="4"/>
        </w:numPr>
        <w:jc w:val="both"/>
      </w:pPr>
      <w:r>
        <w:t>Also unsurprisingly across the 4 zones of Moldova the greatest reduction was in the Centre where agriculture is most prevalent with the employment estimate under the new standards being 34% lower than under the old standards. By contrast the employment estimate in Chisinau was more or less unchanged by the new standards as agricultural work is relatively uncommon.</w:t>
      </w:r>
    </w:p>
    <w:p w:rsidR="006133AA" w:rsidRDefault="006133AA" w:rsidP="006133AA">
      <w:pPr>
        <w:jc w:val="both"/>
      </w:pPr>
    </w:p>
    <w:p w:rsidR="00F87967" w:rsidRDefault="00F87967" w:rsidP="006133AA">
      <w:pPr>
        <w:jc w:val="both"/>
      </w:pPr>
    </w:p>
    <w:p w:rsidR="006133AA" w:rsidRDefault="006133AA" w:rsidP="006133AA">
      <w:pPr>
        <w:jc w:val="both"/>
      </w:pPr>
    </w:p>
    <w:p w:rsidR="007B00BF" w:rsidRPr="007B00BF" w:rsidRDefault="007B00BF" w:rsidP="001D71EF">
      <w:pPr>
        <w:jc w:val="both"/>
        <w:rPr>
          <w:b/>
        </w:rPr>
      </w:pPr>
      <w:r>
        <w:rPr>
          <w:b/>
        </w:rPr>
        <w:lastRenderedPageBreak/>
        <w:t xml:space="preserve">Table 3: Impact of introduction of the new standards </w:t>
      </w:r>
      <w:r w:rsidR="006133AA">
        <w:rPr>
          <w:b/>
        </w:rPr>
        <w:t xml:space="preserve">on Employment estimates </w:t>
      </w:r>
      <w:r>
        <w:rPr>
          <w:b/>
        </w:rPr>
        <w:t>by population subgroup, 2018</w:t>
      </w:r>
    </w:p>
    <w:tbl>
      <w:tblPr>
        <w:tblStyle w:val="a8"/>
        <w:tblW w:w="0" w:type="auto"/>
        <w:tblLook w:val="04A0"/>
      </w:tblPr>
      <w:tblGrid>
        <w:gridCol w:w="1696"/>
        <w:gridCol w:w="2369"/>
        <w:gridCol w:w="2462"/>
        <w:gridCol w:w="1266"/>
        <w:gridCol w:w="1223"/>
      </w:tblGrid>
      <w:tr w:rsidR="007B00BF" w:rsidRPr="007B00BF" w:rsidTr="00992593">
        <w:trPr>
          <w:trHeight w:val="300"/>
        </w:trPr>
        <w:tc>
          <w:tcPr>
            <w:tcW w:w="1696" w:type="dxa"/>
            <w:shd w:val="clear" w:color="auto" w:fill="BFBFBF" w:themeFill="background1" w:themeFillShade="BF"/>
            <w:noWrap/>
            <w:hideMark/>
          </w:tcPr>
          <w:p w:rsidR="007B00BF" w:rsidRPr="007B00BF" w:rsidRDefault="007B00BF" w:rsidP="007B00BF">
            <w:pPr>
              <w:jc w:val="both"/>
            </w:pPr>
            <w:r w:rsidRPr="007B00BF">
              <w:t> </w:t>
            </w:r>
          </w:p>
        </w:tc>
        <w:tc>
          <w:tcPr>
            <w:tcW w:w="4831" w:type="dxa"/>
            <w:gridSpan w:val="2"/>
            <w:shd w:val="clear" w:color="auto" w:fill="BFBFBF" w:themeFill="background1" w:themeFillShade="BF"/>
            <w:noWrap/>
            <w:hideMark/>
          </w:tcPr>
          <w:p w:rsidR="007B00BF" w:rsidRPr="007B00BF" w:rsidRDefault="007B00BF" w:rsidP="007B00BF">
            <w:pPr>
              <w:jc w:val="center"/>
            </w:pPr>
            <w:r w:rsidRPr="007B00BF">
              <w:t>2018 average</w:t>
            </w:r>
          </w:p>
        </w:tc>
        <w:tc>
          <w:tcPr>
            <w:tcW w:w="1266" w:type="dxa"/>
            <w:shd w:val="clear" w:color="auto" w:fill="BFBFBF" w:themeFill="background1" w:themeFillShade="BF"/>
            <w:noWrap/>
            <w:hideMark/>
          </w:tcPr>
          <w:p w:rsidR="007B00BF" w:rsidRPr="007B00BF" w:rsidRDefault="007B00BF" w:rsidP="007B00BF">
            <w:pPr>
              <w:jc w:val="both"/>
            </w:pPr>
            <w:r w:rsidRPr="007B00BF">
              <w:t> </w:t>
            </w:r>
          </w:p>
        </w:tc>
        <w:tc>
          <w:tcPr>
            <w:tcW w:w="1223" w:type="dxa"/>
            <w:shd w:val="clear" w:color="auto" w:fill="BFBFBF" w:themeFill="background1" w:themeFillShade="BF"/>
            <w:noWrap/>
            <w:hideMark/>
          </w:tcPr>
          <w:p w:rsidR="007B00BF" w:rsidRPr="007B00BF" w:rsidRDefault="007B00BF" w:rsidP="007B00BF">
            <w:pPr>
              <w:jc w:val="both"/>
            </w:pPr>
            <w:r w:rsidRPr="007B00BF">
              <w:t> </w:t>
            </w:r>
          </w:p>
        </w:tc>
      </w:tr>
      <w:tr w:rsidR="007B00BF" w:rsidRPr="007B00BF" w:rsidTr="00992593">
        <w:trPr>
          <w:trHeight w:val="300"/>
        </w:trPr>
        <w:tc>
          <w:tcPr>
            <w:tcW w:w="1696" w:type="dxa"/>
            <w:shd w:val="clear" w:color="auto" w:fill="BFBFBF" w:themeFill="background1" w:themeFillShade="BF"/>
            <w:noWrap/>
            <w:hideMark/>
          </w:tcPr>
          <w:p w:rsidR="007B00BF" w:rsidRPr="007B00BF" w:rsidRDefault="007B00BF" w:rsidP="007B00BF">
            <w:pPr>
              <w:jc w:val="both"/>
            </w:pPr>
            <w:r w:rsidRPr="007B00BF">
              <w:t> </w:t>
            </w:r>
          </w:p>
        </w:tc>
        <w:tc>
          <w:tcPr>
            <w:tcW w:w="2369" w:type="dxa"/>
            <w:noWrap/>
            <w:hideMark/>
          </w:tcPr>
          <w:p w:rsidR="007B00BF" w:rsidRPr="007B00BF" w:rsidRDefault="007B00BF" w:rsidP="007B00BF">
            <w:pPr>
              <w:jc w:val="right"/>
              <w:rPr>
                <w:b/>
                <w:bCs/>
              </w:rPr>
            </w:pPr>
            <w:r w:rsidRPr="007B00BF">
              <w:rPr>
                <w:b/>
                <w:bCs/>
              </w:rPr>
              <w:t>Old standards, stable population</w:t>
            </w:r>
          </w:p>
        </w:tc>
        <w:tc>
          <w:tcPr>
            <w:tcW w:w="2462" w:type="dxa"/>
            <w:noWrap/>
            <w:hideMark/>
          </w:tcPr>
          <w:p w:rsidR="007B00BF" w:rsidRPr="007B00BF" w:rsidRDefault="007B00BF" w:rsidP="007B00BF">
            <w:pPr>
              <w:jc w:val="right"/>
            </w:pPr>
            <w:r w:rsidRPr="007B00BF">
              <w:t>New Standards, stable population</w:t>
            </w:r>
          </w:p>
        </w:tc>
        <w:tc>
          <w:tcPr>
            <w:tcW w:w="1266" w:type="dxa"/>
            <w:noWrap/>
            <w:hideMark/>
          </w:tcPr>
          <w:p w:rsidR="007B00BF" w:rsidRPr="007B00BF" w:rsidRDefault="007B00BF" w:rsidP="007B00BF">
            <w:pPr>
              <w:jc w:val="right"/>
            </w:pPr>
            <w:r w:rsidRPr="007B00BF">
              <w:t>Difference (000's)</w:t>
            </w:r>
          </w:p>
        </w:tc>
        <w:tc>
          <w:tcPr>
            <w:tcW w:w="1223" w:type="dxa"/>
            <w:noWrap/>
            <w:hideMark/>
          </w:tcPr>
          <w:p w:rsidR="007B00BF" w:rsidRPr="007B00BF" w:rsidRDefault="007B00BF" w:rsidP="007B00BF">
            <w:pPr>
              <w:jc w:val="right"/>
            </w:pPr>
            <w:r w:rsidRPr="007B00BF">
              <w:t>Difference (%)</w:t>
            </w:r>
          </w:p>
        </w:tc>
      </w:tr>
      <w:tr w:rsidR="007B00BF" w:rsidRPr="007B00BF" w:rsidTr="006133AA">
        <w:trPr>
          <w:trHeight w:val="300"/>
        </w:trPr>
        <w:tc>
          <w:tcPr>
            <w:tcW w:w="1696" w:type="dxa"/>
            <w:shd w:val="clear" w:color="auto" w:fill="F2F2F2" w:themeFill="background1" w:themeFillShade="F2"/>
            <w:noWrap/>
            <w:hideMark/>
          </w:tcPr>
          <w:p w:rsidR="007B00BF" w:rsidRPr="007B00BF" w:rsidRDefault="007B00BF" w:rsidP="007B00BF">
            <w:pPr>
              <w:jc w:val="both"/>
            </w:pPr>
            <w:r w:rsidRPr="007B00BF">
              <w:t> </w:t>
            </w:r>
          </w:p>
        </w:tc>
        <w:tc>
          <w:tcPr>
            <w:tcW w:w="6097" w:type="dxa"/>
            <w:gridSpan w:val="3"/>
            <w:shd w:val="clear" w:color="auto" w:fill="F2F2F2" w:themeFill="background1" w:themeFillShade="F2"/>
            <w:noWrap/>
            <w:hideMark/>
          </w:tcPr>
          <w:p w:rsidR="007B00BF" w:rsidRPr="007B00BF" w:rsidRDefault="006133AA" w:rsidP="007B00BF">
            <w:pPr>
              <w:jc w:val="center"/>
              <w:rPr>
                <w:bCs/>
              </w:rPr>
            </w:pPr>
            <w:r>
              <w:rPr>
                <w:bCs/>
                <w:sz w:val="18"/>
              </w:rPr>
              <w:t xml:space="preserve">Number of Persons </w:t>
            </w:r>
            <w:r w:rsidR="007B00BF" w:rsidRPr="007B00BF">
              <w:rPr>
                <w:bCs/>
                <w:sz w:val="18"/>
              </w:rPr>
              <w:t>000's</w:t>
            </w:r>
          </w:p>
        </w:tc>
        <w:tc>
          <w:tcPr>
            <w:tcW w:w="1223" w:type="dxa"/>
            <w:shd w:val="clear" w:color="auto" w:fill="F2F2F2" w:themeFill="background1" w:themeFillShade="F2"/>
          </w:tcPr>
          <w:p w:rsidR="007B00BF" w:rsidRPr="007B00BF" w:rsidRDefault="007B00BF" w:rsidP="007B00BF">
            <w:pPr>
              <w:jc w:val="center"/>
              <w:rPr>
                <w:bCs/>
              </w:rPr>
            </w:pPr>
            <w:r w:rsidRPr="007B00BF">
              <w:rPr>
                <w:bCs/>
                <w:sz w:val="20"/>
              </w:rPr>
              <w:t>%</w:t>
            </w:r>
          </w:p>
        </w:tc>
      </w:tr>
      <w:tr w:rsidR="007B00BF" w:rsidRPr="007B00BF" w:rsidTr="00992593">
        <w:trPr>
          <w:trHeight w:val="353"/>
        </w:trPr>
        <w:tc>
          <w:tcPr>
            <w:tcW w:w="1696" w:type="dxa"/>
            <w:tcBorders>
              <w:bottom w:val="single" w:sz="4" w:space="0" w:color="auto"/>
            </w:tcBorders>
            <w:noWrap/>
            <w:hideMark/>
          </w:tcPr>
          <w:p w:rsidR="007B00BF" w:rsidRPr="007B00BF" w:rsidRDefault="007B00BF" w:rsidP="007B00BF">
            <w:pPr>
              <w:jc w:val="both"/>
              <w:rPr>
                <w:b/>
                <w:bCs/>
                <w:i/>
                <w:iCs/>
              </w:rPr>
            </w:pPr>
            <w:r w:rsidRPr="007B00BF">
              <w:rPr>
                <w:b/>
                <w:bCs/>
                <w:i/>
                <w:iCs/>
              </w:rPr>
              <w:t>Total</w:t>
            </w:r>
          </w:p>
        </w:tc>
        <w:tc>
          <w:tcPr>
            <w:tcW w:w="2369" w:type="dxa"/>
            <w:tcBorders>
              <w:bottom w:val="single" w:sz="4" w:space="0" w:color="auto"/>
            </w:tcBorders>
            <w:noWrap/>
            <w:hideMark/>
          </w:tcPr>
          <w:p w:rsidR="007B00BF" w:rsidRPr="007B00BF" w:rsidRDefault="007B00BF" w:rsidP="007B00BF">
            <w:pPr>
              <w:jc w:val="right"/>
            </w:pPr>
            <w:r w:rsidRPr="007B00BF">
              <w:t>1252.2</w:t>
            </w:r>
          </w:p>
        </w:tc>
        <w:tc>
          <w:tcPr>
            <w:tcW w:w="2462" w:type="dxa"/>
            <w:tcBorders>
              <w:bottom w:val="single" w:sz="4" w:space="0" w:color="auto"/>
            </w:tcBorders>
            <w:noWrap/>
            <w:hideMark/>
          </w:tcPr>
          <w:p w:rsidR="007B00BF" w:rsidRPr="007B00BF" w:rsidRDefault="007B00BF" w:rsidP="007B00BF">
            <w:pPr>
              <w:jc w:val="right"/>
            </w:pPr>
            <w:r w:rsidRPr="007B00BF">
              <w:t>1028.3</w:t>
            </w:r>
          </w:p>
        </w:tc>
        <w:tc>
          <w:tcPr>
            <w:tcW w:w="1266" w:type="dxa"/>
            <w:tcBorders>
              <w:bottom w:val="single" w:sz="4" w:space="0" w:color="auto"/>
            </w:tcBorders>
            <w:noWrap/>
            <w:hideMark/>
          </w:tcPr>
          <w:p w:rsidR="007B00BF" w:rsidRPr="007B00BF" w:rsidRDefault="007B00BF" w:rsidP="007B00BF">
            <w:pPr>
              <w:jc w:val="right"/>
            </w:pPr>
            <w:r w:rsidRPr="007B00BF">
              <w:t>-224.0</w:t>
            </w:r>
          </w:p>
        </w:tc>
        <w:tc>
          <w:tcPr>
            <w:tcW w:w="1223" w:type="dxa"/>
            <w:tcBorders>
              <w:bottom w:val="single" w:sz="4" w:space="0" w:color="auto"/>
            </w:tcBorders>
            <w:noWrap/>
            <w:hideMark/>
          </w:tcPr>
          <w:p w:rsidR="007B00BF" w:rsidRPr="007B00BF" w:rsidRDefault="007B00BF" w:rsidP="002D3C89">
            <w:pPr>
              <w:jc w:val="right"/>
            </w:pPr>
            <w:r w:rsidRPr="007B00BF">
              <w:t>-18</w:t>
            </w:r>
          </w:p>
        </w:tc>
      </w:tr>
      <w:tr w:rsidR="00992593" w:rsidRPr="007B00BF" w:rsidTr="009C705A">
        <w:trPr>
          <w:trHeight w:val="300"/>
        </w:trPr>
        <w:tc>
          <w:tcPr>
            <w:tcW w:w="1696" w:type="dxa"/>
            <w:tcBorders>
              <w:right w:val="nil"/>
            </w:tcBorders>
            <w:shd w:val="clear" w:color="auto" w:fill="F2F2F2" w:themeFill="background1" w:themeFillShade="F2"/>
            <w:noWrap/>
            <w:hideMark/>
          </w:tcPr>
          <w:p w:rsidR="00992593" w:rsidRPr="007B00BF" w:rsidRDefault="00992593" w:rsidP="009C705A">
            <w:pPr>
              <w:jc w:val="both"/>
              <w:rPr>
                <w:b/>
                <w:bCs/>
                <w:i/>
                <w:iCs/>
              </w:rPr>
            </w:pPr>
            <w:r w:rsidRPr="00992593">
              <w:rPr>
                <w:b/>
                <w:bCs/>
                <w:i/>
                <w:iCs/>
              </w:rPr>
              <w:t>Industry/Sector</w:t>
            </w:r>
          </w:p>
        </w:tc>
        <w:tc>
          <w:tcPr>
            <w:tcW w:w="2369" w:type="dxa"/>
            <w:tcBorders>
              <w:left w:val="nil"/>
              <w:right w:val="nil"/>
            </w:tcBorders>
            <w:shd w:val="clear" w:color="auto" w:fill="F2F2F2" w:themeFill="background1" w:themeFillShade="F2"/>
            <w:noWrap/>
            <w:hideMark/>
          </w:tcPr>
          <w:p w:rsidR="00992593" w:rsidRPr="007B00BF" w:rsidRDefault="00992593" w:rsidP="009C705A">
            <w:pPr>
              <w:jc w:val="both"/>
            </w:pPr>
            <w:r w:rsidRPr="007B00BF">
              <w:t> </w:t>
            </w:r>
          </w:p>
        </w:tc>
        <w:tc>
          <w:tcPr>
            <w:tcW w:w="2462" w:type="dxa"/>
            <w:tcBorders>
              <w:left w:val="nil"/>
              <w:right w:val="nil"/>
            </w:tcBorders>
            <w:shd w:val="clear" w:color="auto" w:fill="F2F2F2" w:themeFill="background1" w:themeFillShade="F2"/>
            <w:noWrap/>
            <w:hideMark/>
          </w:tcPr>
          <w:p w:rsidR="00992593" w:rsidRPr="007B00BF" w:rsidRDefault="00992593" w:rsidP="009C705A">
            <w:pPr>
              <w:jc w:val="both"/>
            </w:pPr>
            <w:r w:rsidRPr="007B00BF">
              <w:t> </w:t>
            </w:r>
          </w:p>
        </w:tc>
        <w:tc>
          <w:tcPr>
            <w:tcW w:w="1266" w:type="dxa"/>
            <w:tcBorders>
              <w:left w:val="nil"/>
              <w:right w:val="nil"/>
            </w:tcBorders>
            <w:shd w:val="clear" w:color="auto" w:fill="F2F2F2" w:themeFill="background1" w:themeFillShade="F2"/>
            <w:noWrap/>
            <w:hideMark/>
          </w:tcPr>
          <w:p w:rsidR="00992593" w:rsidRPr="007B00BF" w:rsidRDefault="00992593" w:rsidP="009C705A">
            <w:pPr>
              <w:jc w:val="both"/>
            </w:pPr>
            <w:r w:rsidRPr="007B00BF">
              <w:t> </w:t>
            </w:r>
          </w:p>
        </w:tc>
        <w:tc>
          <w:tcPr>
            <w:tcW w:w="1223" w:type="dxa"/>
            <w:tcBorders>
              <w:left w:val="nil"/>
            </w:tcBorders>
            <w:shd w:val="clear" w:color="auto" w:fill="F2F2F2" w:themeFill="background1" w:themeFillShade="F2"/>
            <w:noWrap/>
            <w:hideMark/>
          </w:tcPr>
          <w:p w:rsidR="00992593" w:rsidRPr="007B00BF" w:rsidRDefault="00992593" w:rsidP="009C705A">
            <w:pPr>
              <w:jc w:val="both"/>
            </w:pPr>
            <w:r w:rsidRPr="007B00BF">
              <w:t> </w:t>
            </w:r>
          </w:p>
        </w:tc>
      </w:tr>
      <w:tr w:rsidR="00992593" w:rsidRPr="007B00BF" w:rsidTr="009C705A">
        <w:trPr>
          <w:trHeight w:val="300"/>
        </w:trPr>
        <w:tc>
          <w:tcPr>
            <w:tcW w:w="1696" w:type="dxa"/>
            <w:noWrap/>
            <w:hideMark/>
          </w:tcPr>
          <w:p w:rsidR="00992593" w:rsidRPr="007F2498" w:rsidRDefault="00992593" w:rsidP="009C705A">
            <w:r w:rsidRPr="007F2498">
              <w:t>Agriculture, forestry, fishing</w:t>
            </w:r>
          </w:p>
        </w:tc>
        <w:tc>
          <w:tcPr>
            <w:tcW w:w="2369" w:type="dxa"/>
            <w:noWrap/>
            <w:hideMark/>
          </w:tcPr>
          <w:p w:rsidR="00992593" w:rsidRPr="007F2498" w:rsidRDefault="00992593" w:rsidP="009C705A">
            <w:pPr>
              <w:jc w:val="right"/>
            </w:pPr>
            <w:r w:rsidRPr="007F2498">
              <w:t>452.0</w:t>
            </w:r>
          </w:p>
        </w:tc>
        <w:tc>
          <w:tcPr>
            <w:tcW w:w="2462" w:type="dxa"/>
            <w:noWrap/>
            <w:hideMark/>
          </w:tcPr>
          <w:p w:rsidR="00992593" w:rsidRPr="007F2498" w:rsidRDefault="00992593" w:rsidP="009C705A">
            <w:pPr>
              <w:jc w:val="right"/>
            </w:pPr>
            <w:r w:rsidRPr="007F2498">
              <w:t>228.1</w:t>
            </w:r>
          </w:p>
        </w:tc>
        <w:tc>
          <w:tcPr>
            <w:tcW w:w="1266" w:type="dxa"/>
            <w:noWrap/>
            <w:hideMark/>
          </w:tcPr>
          <w:p w:rsidR="00992593" w:rsidRPr="007F2498" w:rsidRDefault="00992593" w:rsidP="009C705A">
            <w:pPr>
              <w:jc w:val="right"/>
            </w:pPr>
            <w:r w:rsidRPr="007F2498">
              <w:t>-224.0</w:t>
            </w:r>
          </w:p>
        </w:tc>
        <w:tc>
          <w:tcPr>
            <w:tcW w:w="1223" w:type="dxa"/>
            <w:noWrap/>
            <w:hideMark/>
          </w:tcPr>
          <w:p w:rsidR="00992593" w:rsidRPr="007F2498" w:rsidRDefault="002D3C89" w:rsidP="009C705A">
            <w:pPr>
              <w:jc w:val="right"/>
            </w:pPr>
            <w:r>
              <w:t>-50</w:t>
            </w:r>
          </w:p>
        </w:tc>
      </w:tr>
      <w:tr w:rsidR="00992593" w:rsidRPr="007B00BF" w:rsidTr="009C705A">
        <w:trPr>
          <w:trHeight w:val="300"/>
        </w:trPr>
        <w:tc>
          <w:tcPr>
            <w:tcW w:w="1696" w:type="dxa"/>
            <w:noWrap/>
            <w:hideMark/>
          </w:tcPr>
          <w:p w:rsidR="00992593" w:rsidRPr="007F2498" w:rsidRDefault="00992593" w:rsidP="009C705A">
            <w:r w:rsidRPr="007F2498">
              <w:t>Other sectors</w:t>
            </w:r>
          </w:p>
        </w:tc>
        <w:tc>
          <w:tcPr>
            <w:tcW w:w="2369" w:type="dxa"/>
            <w:noWrap/>
            <w:hideMark/>
          </w:tcPr>
          <w:p w:rsidR="00992593" w:rsidRPr="007F2498" w:rsidRDefault="00992593" w:rsidP="009C705A">
            <w:pPr>
              <w:jc w:val="right"/>
            </w:pPr>
            <w:r w:rsidRPr="007F2498">
              <w:t>800.2</w:t>
            </w:r>
          </w:p>
        </w:tc>
        <w:tc>
          <w:tcPr>
            <w:tcW w:w="2462" w:type="dxa"/>
            <w:noWrap/>
            <w:hideMark/>
          </w:tcPr>
          <w:p w:rsidR="00992593" w:rsidRPr="007F2498" w:rsidRDefault="00992593" w:rsidP="009C705A">
            <w:pPr>
              <w:jc w:val="right"/>
            </w:pPr>
            <w:r w:rsidRPr="007F2498">
              <w:t>800.2</w:t>
            </w:r>
          </w:p>
        </w:tc>
        <w:tc>
          <w:tcPr>
            <w:tcW w:w="1266" w:type="dxa"/>
            <w:noWrap/>
            <w:hideMark/>
          </w:tcPr>
          <w:p w:rsidR="00992593" w:rsidRPr="007F2498" w:rsidRDefault="00992593" w:rsidP="009C705A">
            <w:pPr>
              <w:jc w:val="right"/>
            </w:pPr>
            <w:r w:rsidRPr="007F2498">
              <w:t>0.0</w:t>
            </w:r>
          </w:p>
        </w:tc>
        <w:tc>
          <w:tcPr>
            <w:tcW w:w="1223" w:type="dxa"/>
            <w:noWrap/>
            <w:hideMark/>
          </w:tcPr>
          <w:p w:rsidR="00992593" w:rsidRDefault="002D3C89" w:rsidP="009C705A">
            <w:pPr>
              <w:jc w:val="right"/>
            </w:pPr>
            <w:r>
              <w:t>0</w:t>
            </w:r>
          </w:p>
        </w:tc>
      </w:tr>
      <w:tr w:rsidR="007B00BF" w:rsidRPr="007B00BF" w:rsidTr="00992593">
        <w:trPr>
          <w:trHeight w:val="300"/>
        </w:trPr>
        <w:tc>
          <w:tcPr>
            <w:tcW w:w="1696" w:type="dxa"/>
            <w:tcBorders>
              <w:right w:val="nil"/>
            </w:tcBorders>
            <w:shd w:val="clear" w:color="auto" w:fill="F2F2F2" w:themeFill="background1" w:themeFillShade="F2"/>
            <w:noWrap/>
            <w:hideMark/>
          </w:tcPr>
          <w:p w:rsidR="007B00BF" w:rsidRPr="007B00BF" w:rsidRDefault="007B00BF" w:rsidP="007B00BF">
            <w:pPr>
              <w:jc w:val="both"/>
              <w:rPr>
                <w:b/>
                <w:bCs/>
                <w:i/>
                <w:iCs/>
              </w:rPr>
            </w:pPr>
            <w:r w:rsidRPr="007B00BF">
              <w:rPr>
                <w:b/>
                <w:bCs/>
                <w:i/>
                <w:iCs/>
              </w:rPr>
              <w:t>Sex</w:t>
            </w:r>
          </w:p>
        </w:tc>
        <w:tc>
          <w:tcPr>
            <w:tcW w:w="2369" w:type="dxa"/>
            <w:tcBorders>
              <w:left w:val="nil"/>
              <w:right w:val="nil"/>
            </w:tcBorders>
            <w:shd w:val="clear" w:color="auto" w:fill="F2F2F2" w:themeFill="background1" w:themeFillShade="F2"/>
            <w:noWrap/>
            <w:hideMark/>
          </w:tcPr>
          <w:p w:rsidR="007B00BF" w:rsidRPr="007B00BF" w:rsidRDefault="007B00BF" w:rsidP="007B00BF">
            <w:pPr>
              <w:jc w:val="right"/>
            </w:pPr>
            <w:r w:rsidRPr="007B00BF">
              <w:t> </w:t>
            </w:r>
          </w:p>
        </w:tc>
        <w:tc>
          <w:tcPr>
            <w:tcW w:w="2462" w:type="dxa"/>
            <w:tcBorders>
              <w:left w:val="nil"/>
              <w:right w:val="nil"/>
            </w:tcBorders>
            <w:shd w:val="clear" w:color="auto" w:fill="F2F2F2" w:themeFill="background1" w:themeFillShade="F2"/>
            <w:noWrap/>
            <w:hideMark/>
          </w:tcPr>
          <w:p w:rsidR="007B00BF" w:rsidRPr="007B00BF" w:rsidRDefault="007B00BF" w:rsidP="007B00BF">
            <w:pPr>
              <w:jc w:val="right"/>
            </w:pPr>
            <w:r w:rsidRPr="007B00BF">
              <w:t> </w:t>
            </w:r>
          </w:p>
        </w:tc>
        <w:tc>
          <w:tcPr>
            <w:tcW w:w="1266" w:type="dxa"/>
            <w:tcBorders>
              <w:left w:val="nil"/>
              <w:right w:val="nil"/>
            </w:tcBorders>
            <w:shd w:val="clear" w:color="auto" w:fill="F2F2F2" w:themeFill="background1" w:themeFillShade="F2"/>
            <w:noWrap/>
            <w:hideMark/>
          </w:tcPr>
          <w:p w:rsidR="007B00BF" w:rsidRPr="007B00BF" w:rsidRDefault="007B00BF" w:rsidP="007B00BF">
            <w:pPr>
              <w:jc w:val="right"/>
            </w:pPr>
            <w:r w:rsidRPr="007B00BF">
              <w:t> </w:t>
            </w:r>
          </w:p>
        </w:tc>
        <w:tc>
          <w:tcPr>
            <w:tcW w:w="1223" w:type="dxa"/>
            <w:tcBorders>
              <w:left w:val="nil"/>
            </w:tcBorders>
            <w:shd w:val="clear" w:color="auto" w:fill="F2F2F2" w:themeFill="background1" w:themeFillShade="F2"/>
            <w:noWrap/>
            <w:hideMark/>
          </w:tcPr>
          <w:p w:rsidR="007B00BF" w:rsidRPr="007B00BF" w:rsidRDefault="007B00BF" w:rsidP="007B00BF">
            <w:pPr>
              <w:jc w:val="right"/>
            </w:pPr>
            <w:r w:rsidRPr="007B00BF">
              <w:t> </w:t>
            </w:r>
          </w:p>
        </w:tc>
      </w:tr>
      <w:tr w:rsidR="007B00BF" w:rsidRPr="007B00BF" w:rsidTr="00992593">
        <w:trPr>
          <w:trHeight w:val="300"/>
        </w:trPr>
        <w:tc>
          <w:tcPr>
            <w:tcW w:w="1696" w:type="dxa"/>
            <w:noWrap/>
            <w:hideMark/>
          </w:tcPr>
          <w:p w:rsidR="007B00BF" w:rsidRPr="007B00BF" w:rsidRDefault="007B00BF" w:rsidP="007B00BF">
            <w:pPr>
              <w:jc w:val="both"/>
            </w:pPr>
            <w:r w:rsidRPr="007B00BF">
              <w:t>Males</w:t>
            </w:r>
          </w:p>
        </w:tc>
        <w:tc>
          <w:tcPr>
            <w:tcW w:w="2369" w:type="dxa"/>
            <w:noWrap/>
            <w:hideMark/>
          </w:tcPr>
          <w:p w:rsidR="007B00BF" w:rsidRPr="007B00BF" w:rsidRDefault="007B00BF" w:rsidP="007B00BF">
            <w:pPr>
              <w:jc w:val="right"/>
            </w:pPr>
            <w:r w:rsidRPr="007B00BF">
              <w:t>621.9</w:t>
            </w:r>
          </w:p>
        </w:tc>
        <w:tc>
          <w:tcPr>
            <w:tcW w:w="2462" w:type="dxa"/>
            <w:noWrap/>
            <w:hideMark/>
          </w:tcPr>
          <w:p w:rsidR="007B00BF" w:rsidRPr="007B00BF" w:rsidRDefault="007B00BF" w:rsidP="007B00BF">
            <w:pPr>
              <w:jc w:val="right"/>
            </w:pPr>
            <w:r w:rsidRPr="007B00BF">
              <w:t>509.6</w:t>
            </w:r>
          </w:p>
        </w:tc>
        <w:tc>
          <w:tcPr>
            <w:tcW w:w="1266" w:type="dxa"/>
            <w:noWrap/>
            <w:hideMark/>
          </w:tcPr>
          <w:p w:rsidR="007B00BF" w:rsidRPr="007B00BF" w:rsidRDefault="007B00BF" w:rsidP="007B00BF">
            <w:pPr>
              <w:jc w:val="right"/>
            </w:pPr>
            <w:r w:rsidRPr="007B00BF">
              <w:t>-112.3</w:t>
            </w:r>
          </w:p>
        </w:tc>
        <w:tc>
          <w:tcPr>
            <w:tcW w:w="1223" w:type="dxa"/>
            <w:noWrap/>
            <w:hideMark/>
          </w:tcPr>
          <w:p w:rsidR="007B00BF" w:rsidRPr="007B00BF" w:rsidRDefault="002D3C89" w:rsidP="007B00BF">
            <w:pPr>
              <w:jc w:val="right"/>
            </w:pPr>
            <w:r>
              <w:t>-18</w:t>
            </w:r>
          </w:p>
        </w:tc>
      </w:tr>
      <w:tr w:rsidR="007B00BF" w:rsidRPr="007B00BF" w:rsidTr="00992593">
        <w:trPr>
          <w:trHeight w:val="300"/>
        </w:trPr>
        <w:tc>
          <w:tcPr>
            <w:tcW w:w="1696" w:type="dxa"/>
            <w:noWrap/>
            <w:hideMark/>
          </w:tcPr>
          <w:p w:rsidR="007B00BF" w:rsidRPr="007B00BF" w:rsidRDefault="007B00BF" w:rsidP="007B00BF">
            <w:pPr>
              <w:jc w:val="both"/>
            </w:pPr>
            <w:r w:rsidRPr="007B00BF">
              <w:t>Females</w:t>
            </w:r>
          </w:p>
        </w:tc>
        <w:tc>
          <w:tcPr>
            <w:tcW w:w="2369" w:type="dxa"/>
            <w:noWrap/>
            <w:hideMark/>
          </w:tcPr>
          <w:p w:rsidR="007B00BF" w:rsidRPr="007B00BF" w:rsidRDefault="007B00BF" w:rsidP="007B00BF">
            <w:pPr>
              <w:jc w:val="right"/>
            </w:pPr>
            <w:r w:rsidRPr="007B00BF">
              <w:t>630.3</w:t>
            </w:r>
          </w:p>
        </w:tc>
        <w:tc>
          <w:tcPr>
            <w:tcW w:w="2462" w:type="dxa"/>
            <w:noWrap/>
            <w:hideMark/>
          </w:tcPr>
          <w:p w:rsidR="007B00BF" w:rsidRPr="007B00BF" w:rsidRDefault="007B00BF" w:rsidP="007B00BF">
            <w:pPr>
              <w:jc w:val="right"/>
            </w:pPr>
            <w:r w:rsidRPr="007B00BF">
              <w:t>518.7</w:t>
            </w:r>
          </w:p>
        </w:tc>
        <w:tc>
          <w:tcPr>
            <w:tcW w:w="1266" w:type="dxa"/>
            <w:noWrap/>
            <w:hideMark/>
          </w:tcPr>
          <w:p w:rsidR="007B00BF" w:rsidRPr="007B00BF" w:rsidRDefault="007B00BF" w:rsidP="007B00BF">
            <w:pPr>
              <w:jc w:val="right"/>
            </w:pPr>
            <w:r w:rsidRPr="007B00BF">
              <w:t>-111.7</w:t>
            </w:r>
          </w:p>
        </w:tc>
        <w:tc>
          <w:tcPr>
            <w:tcW w:w="1223" w:type="dxa"/>
            <w:noWrap/>
            <w:hideMark/>
          </w:tcPr>
          <w:p w:rsidR="007B00BF" w:rsidRPr="007B00BF" w:rsidRDefault="002D3C89" w:rsidP="007B00BF">
            <w:pPr>
              <w:jc w:val="right"/>
            </w:pPr>
            <w:r>
              <w:t>-18</w:t>
            </w:r>
          </w:p>
        </w:tc>
      </w:tr>
      <w:tr w:rsidR="007B00BF" w:rsidRPr="007B00BF" w:rsidTr="00992593">
        <w:trPr>
          <w:trHeight w:val="300"/>
        </w:trPr>
        <w:tc>
          <w:tcPr>
            <w:tcW w:w="1696" w:type="dxa"/>
            <w:shd w:val="clear" w:color="auto" w:fill="F2F2F2" w:themeFill="background1" w:themeFillShade="F2"/>
            <w:noWrap/>
            <w:hideMark/>
          </w:tcPr>
          <w:p w:rsidR="007B00BF" w:rsidRPr="007B00BF" w:rsidRDefault="007B00BF" w:rsidP="007B00BF">
            <w:pPr>
              <w:jc w:val="both"/>
              <w:rPr>
                <w:b/>
                <w:bCs/>
                <w:i/>
                <w:iCs/>
              </w:rPr>
            </w:pPr>
            <w:r w:rsidRPr="007B00BF">
              <w:rPr>
                <w:b/>
                <w:bCs/>
                <w:i/>
                <w:iCs/>
              </w:rPr>
              <w:t>Age</w:t>
            </w:r>
          </w:p>
        </w:tc>
        <w:tc>
          <w:tcPr>
            <w:tcW w:w="2369" w:type="dxa"/>
            <w:shd w:val="clear" w:color="auto" w:fill="F2F2F2" w:themeFill="background1" w:themeFillShade="F2"/>
            <w:noWrap/>
            <w:hideMark/>
          </w:tcPr>
          <w:p w:rsidR="007B00BF" w:rsidRPr="007B00BF" w:rsidRDefault="007B00BF" w:rsidP="007B00BF">
            <w:pPr>
              <w:jc w:val="right"/>
            </w:pPr>
            <w:r w:rsidRPr="007B00BF">
              <w:t> </w:t>
            </w:r>
          </w:p>
        </w:tc>
        <w:tc>
          <w:tcPr>
            <w:tcW w:w="2462" w:type="dxa"/>
            <w:shd w:val="clear" w:color="auto" w:fill="F2F2F2" w:themeFill="background1" w:themeFillShade="F2"/>
            <w:noWrap/>
            <w:hideMark/>
          </w:tcPr>
          <w:p w:rsidR="007B00BF" w:rsidRPr="007B00BF" w:rsidRDefault="007B00BF" w:rsidP="007B00BF">
            <w:pPr>
              <w:jc w:val="right"/>
            </w:pPr>
            <w:r w:rsidRPr="007B00BF">
              <w:t> </w:t>
            </w:r>
          </w:p>
        </w:tc>
        <w:tc>
          <w:tcPr>
            <w:tcW w:w="1266" w:type="dxa"/>
            <w:shd w:val="clear" w:color="auto" w:fill="F2F2F2" w:themeFill="background1" w:themeFillShade="F2"/>
            <w:noWrap/>
            <w:hideMark/>
          </w:tcPr>
          <w:p w:rsidR="007B00BF" w:rsidRPr="007B00BF" w:rsidRDefault="007B00BF" w:rsidP="007B00BF">
            <w:pPr>
              <w:jc w:val="right"/>
            </w:pPr>
            <w:r w:rsidRPr="007B00BF">
              <w:t> </w:t>
            </w:r>
          </w:p>
        </w:tc>
        <w:tc>
          <w:tcPr>
            <w:tcW w:w="1223" w:type="dxa"/>
            <w:shd w:val="clear" w:color="auto" w:fill="F2F2F2" w:themeFill="background1" w:themeFillShade="F2"/>
            <w:noWrap/>
            <w:hideMark/>
          </w:tcPr>
          <w:p w:rsidR="007B00BF" w:rsidRPr="007B00BF" w:rsidRDefault="007B00BF" w:rsidP="007B00BF">
            <w:pPr>
              <w:jc w:val="right"/>
            </w:pPr>
            <w:r w:rsidRPr="007B00BF">
              <w:t> </w:t>
            </w:r>
          </w:p>
        </w:tc>
      </w:tr>
      <w:tr w:rsidR="007B00BF" w:rsidRPr="007B00BF" w:rsidTr="00992593">
        <w:trPr>
          <w:trHeight w:val="300"/>
        </w:trPr>
        <w:tc>
          <w:tcPr>
            <w:tcW w:w="1696" w:type="dxa"/>
            <w:noWrap/>
            <w:hideMark/>
          </w:tcPr>
          <w:p w:rsidR="007B00BF" w:rsidRPr="007B00BF" w:rsidRDefault="007B00BF" w:rsidP="007B00BF">
            <w:pPr>
              <w:jc w:val="both"/>
            </w:pPr>
            <w:r w:rsidRPr="007B00BF">
              <w:t>15-24 years</w:t>
            </w:r>
          </w:p>
        </w:tc>
        <w:tc>
          <w:tcPr>
            <w:tcW w:w="2369" w:type="dxa"/>
            <w:noWrap/>
            <w:hideMark/>
          </w:tcPr>
          <w:p w:rsidR="007B00BF" w:rsidRPr="007B00BF" w:rsidRDefault="007B00BF" w:rsidP="007B00BF">
            <w:pPr>
              <w:jc w:val="right"/>
            </w:pPr>
            <w:r w:rsidRPr="007B00BF">
              <w:t>85.1</w:t>
            </w:r>
          </w:p>
        </w:tc>
        <w:tc>
          <w:tcPr>
            <w:tcW w:w="2462" w:type="dxa"/>
            <w:noWrap/>
            <w:hideMark/>
          </w:tcPr>
          <w:p w:rsidR="007B00BF" w:rsidRPr="007B00BF" w:rsidRDefault="007B00BF" w:rsidP="007B00BF">
            <w:pPr>
              <w:jc w:val="right"/>
            </w:pPr>
            <w:r w:rsidRPr="007B00BF">
              <w:t>70.6</w:t>
            </w:r>
          </w:p>
        </w:tc>
        <w:tc>
          <w:tcPr>
            <w:tcW w:w="1266" w:type="dxa"/>
            <w:noWrap/>
            <w:hideMark/>
          </w:tcPr>
          <w:p w:rsidR="007B00BF" w:rsidRPr="007B00BF" w:rsidRDefault="007B00BF" w:rsidP="007B00BF">
            <w:pPr>
              <w:jc w:val="right"/>
            </w:pPr>
            <w:r w:rsidRPr="007B00BF">
              <w:t>-14.6</w:t>
            </w:r>
          </w:p>
        </w:tc>
        <w:tc>
          <w:tcPr>
            <w:tcW w:w="1223" w:type="dxa"/>
            <w:noWrap/>
            <w:hideMark/>
          </w:tcPr>
          <w:p w:rsidR="007B00BF" w:rsidRPr="007B00BF" w:rsidRDefault="007B00BF" w:rsidP="007B00BF">
            <w:pPr>
              <w:jc w:val="right"/>
            </w:pPr>
            <w:r w:rsidRPr="007B00BF">
              <w:t>-17</w:t>
            </w:r>
          </w:p>
        </w:tc>
      </w:tr>
      <w:tr w:rsidR="007B00BF" w:rsidRPr="007B00BF" w:rsidTr="00992593">
        <w:trPr>
          <w:trHeight w:val="300"/>
        </w:trPr>
        <w:tc>
          <w:tcPr>
            <w:tcW w:w="1696" w:type="dxa"/>
            <w:noWrap/>
            <w:hideMark/>
          </w:tcPr>
          <w:p w:rsidR="007B00BF" w:rsidRPr="007B00BF" w:rsidRDefault="007B00BF" w:rsidP="007B00BF">
            <w:pPr>
              <w:jc w:val="both"/>
            </w:pPr>
            <w:r w:rsidRPr="007B00BF">
              <w:t>25-54 years</w:t>
            </w:r>
          </w:p>
        </w:tc>
        <w:tc>
          <w:tcPr>
            <w:tcW w:w="2369" w:type="dxa"/>
            <w:noWrap/>
            <w:hideMark/>
          </w:tcPr>
          <w:p w:rsidR="007B00BF" w:rsidRPr="007B00BF" w:rsidRDefault="007B00BF" w:rsidP="007B00BF">
            <w:pPr>
              <w:jc w:val="right"/>
            </w:pPr>
            <w:r w:rsidRPr="007B00BF">
              <w:t>879.6</w:t>
            </w:r>
          </w:p>
        </w:tc>
        <w:tc>
          <w:tcPr>
            <w:tcW w:w="2462" w:type="dxa"/>
            <w:noWrap/>
            <w:hideMark/>
          </w:tcPr>
          <w:p w:rsidR="007B00BF" w:rsidRPr="007B00BF" w:rsidRDefault="007B00BF" w:rsidP="007B00BF">
            <w:pPr>
              <w:jc w:val="right"/>
            </w:pPr>
            <w:r w:rsidRPr="007B00BF">
              <w:t>765.6</w:t>
            </w:r>
          </w:p>
        </w:tc>
        <w:tc>
          <w:tcPr>
            <w:tcW w:w="1266" w:type="dxa"/>
            <w:noWrap/>
            <w:hideMark/>
          </w:tcPr>
          <w:p w:rsidR="007B00BF" w:rsidRPr="007B00BF" w:rsidRDefault="007B00BF" w:rsidP="007B00BF">
            <w:pPr>
              <w:jc w:val="right"/>
            </w:pPr>
            <w:r w:rsidRPr="007B00BF">
              <w:t>-114.0</w:t>
            </w:r>
          </w:p>
        </w:tc>
        <w:tc>
          <w:tcPr>
            <w:tcW w:w="1223" w:type="dxa"/>
            <w:noWrap/>
            <w:hideMark/>
          </w:tcPr>
          <w:p w:rsidR="007B00BF" w:rsidRPr="007B00BF" w:rsidRDefault="007B00BF" w:rsidP="007B00BF">
            <w:pPr>
              <w:jc w:val="right"/>
            </w:pPr>
            <w:r w:rsidRPr="007B00BF">
              <w:t>-13</w:t>
            </w:r>
          </w:p>
        </w:tc>
      </w:tr>
      <w:tr w:rsidR="007B00BF" w:rsidRPr="007B00BF" w:rsidTr="00992593">
        <w:trPr>
          <w:trHeight w:val="300"/>
        </w:trPr>
        <w:tc>
          <w:tcPr>
            <w:tcW w:w="1696" w:type="dxa"/>
            <w:noWrap/>
            <w:hideMark/>
          </w:tcPr>
          <w:p w:rsidR="007B00BF" w:rsidRPr="007B00BF" w:rsidRDefault="007B00BF" w:rsidP="007B00BF">
            <w:pPr>
              <w:jc w:val="both"/>
            </w:pPr>
            <w:r w:rsidRPr="007B00BF">
              <w:t>55-64 years</w:t>
            </w:r>
          </w:p>
        </w:tc>
        <w:tc>
          <w:tcPr>
            <w:tcW w:w="2369" w:type="dxa"/>
            <w:noWrap/>
            <w:hideMark/>
          </w:tcPr>
          <w:p w:rsidR="007B00BF" w:rsidRPr="007B00BF" w:rsidRDefault="007B00BF" w:rsidP="007B00BF">
            <w:pPr>
              <w:jc w:val="right"/>
            </w:pPr>
            <w:r w:rsidRPr="007B00BF">
              <w:t>221.3</w:t>
            </w:r>
          </w:p>
        </w:tc>
        <w:tc>
          <w:tcPr>
            <w:tcW w:w="2462" w:type="dxa"/>
            <w:noWrap/>
            <w:hideMark/>
          </w:tcPr>
          <w:p w:rsidR="007B00BF" w:rsidRPr="007B00BF" w:rsidRDefault="007B00BF" w:rsidP="007B00BF">
            <w:pPr>
              <w:jc w:val="right"/>
            </w:pPr>
            <w:r w:rsidRPr="007B00BF">
              <w:t>167.5</w:t>
            </w:r>
          </w:p>
        </w:tc>
        <w:tc>
          <w:tcPr>
            <w:tcW w:w="1266" w:type="dxa"/>
            <w:noWrap/>
            <w:hideMark/>
          </w:tcPr>
          <w:p w:rsidR="007B00BF" w:rsidRPr="007B00BF" w:rsidRDefault="007B00BF" w:rsidP="007B00BF">
            <w:pPr>
              <w:jc w:val="right"/>
            </w:pPr>
            <w:r w:rsidRPr="007B00BF">
              <w:t>-53.8</w:t>
            </w:r>
          </w:p>
        </w:tc>
        <w:tc>
          <w:tcPr>
            <w:tcW w:w="1223" w:type="dxa"/>
            <w:noWrap/>
            <w:hideMark/>
          </w:tcPr>
          <w:p w:rsidR="007B00BF" w:rsidRPr="007B00BF" w:rsidRDefault="007B00BF" w:rsidP="007B00BF">
            <w:pPr>
              <w:jc w:val="right"/>
            </w:pPr>
            <w:r w:rsidRPr="007B00BF">
              <w:t>-24</w:t>
            </w:r>
          </w:p>
        </w:tc>
      </w:tr>
      <w:tr w:rsidR="007B00BF" w:rsidRPr="007B00BF" w:rsidTr="00992593">
        <w:trPr>
          <w:trHeight w:val="300"/>
        </w:trPr>
        <w:tc>
          <w:tcPr>
            <w:tcW w:w="1696" w:type="dxa"/>
            <w:tcBorders>
              <w:bottom w:val="single" w:sz="4" w:space="0" w:color="auto"/>
            </w:tcBorders>
            <w:noWrap/>
            <w:hideMark/>
          </w:tcPr>
          <w:p w:rsidR="007B00BF" w:rsidRPr="007B00BF" w:rsidRDefault="007B00BF" w:rsidP="007B00BF">
            <w:pPr>
              <w:jc w:val="both"/>
            </w:pPr>
            <w:r w:rsidRPr="007B00BF">
              <w:t>65+</w:t>
            </w:r>
          </w:p>
        </w:tc>
        <w:tc>
          <w:tcPr>
            <w:tcW w:w="2369" w:type="dxa"/>
            <w:tcBorders>
              <w:bottom w:val="single" w:sz="4" w:space="0" w:color="auto"/>
            </w:tcBorders>
            <w:noWrap/>
            <w:hideMark/>
          </w:tcPr>
          <w:p w:rsidR="007B00BF" w:rsidRPr="007B00BF" w:rsidRDefault="007B00BF" w:rsidP="007B00BF">
            <w:pPr>
              <w:jc w:val="right"/>
            </w:pPr>
            <w:r w:rsidRPr="007B00BF">
              <w:t>66.3</w:t>
            </w:r>
          </w:p>
        </w:tc>
        <w:tc>
          <w:tcPr>
            <w:tcW w:w="2462" w:type="dxa"/>
            <w:tcBorders>
              <w:bottom w:val="single" w:sz="4" w:space="0" w:color="auto"/>
            </w:tcBorders>
            <w:noWrap/>
            <w:hideMark/>
          </w:tcPr>
          <w:p w:rsidR="007B00BF" w:rsidRPr="007B00BF" w:rsidRDefault="007B00BF" w:rsidP="007B00BF">
            <w:pPr>
              <w:jc w:val="right"/>
            </w:pPr>
            <w:r w:rsidRPr="007B00BF">
              <w:t>24.6</w:t>
            </w:r>
          </w:p>
        </w:tc>
        <w:tc>
          <w:tcPr>
            <w:tcW w:w="1266" w:type="dxa"/>
            <w:tcBorders>
              <w:bottom w:val="single" w:sz="4" w:space="0" w:color="auto"/>
            </w:tcBorders>
            <w:noWrap/>
            <w:hideMark/>
          </w:tcPr>
          <w:p w:rsidR="007B00BF" w:rsidRPr="007B00BF" w:rsidRDefault="007B00BF" w:rsidP="007B00BF">
            <w:pPr>
              <w:jc w:val="right"/>
            </w:pPr>
            <w:r w:rsidRPr="007B00BF">
              <w:t>-41.7</w:t>
            </w:r>
          </w:p>
        </w:tc>
        <w:tc>
          <w:tcPr>
            <w:tcW w:w="1223" w:type="dxa"/>
            <w:tcBorders>
              <w:bottom w:val="single" w:sz="4" w:space="0" w:color="auto"/>
            </w:tcBorders>
            <w:noWrap/>
            <w:hideMark/>
          </w:tcPr>
          <w:p w:rsidR="007B00BF" w:rsidRPr="007B00BF" w:rsidRDefault="007B00BF" w:rsidP="007B00BF">
            <w:pPr>
              <w:jc w:val="right"/>
            </w:pPr>
            <w:r w:rsidRPr="007B00BF">
              <w:t>-63</w:t>
            </w:r>
          </w:p>
        </w:tc>
      </w:tr>
      <w:tr w:rsidR="007B00BF" w:rsidRPr="007B00BF" w:rsidTr="00992593">
        <w:trPr>
          <w:trHeight w:val="300"/>
        </w:trPr>
        <w:tc>
          <w:tcPr>
            <w:tcW w:w="1696" w:type="dxa"/>
            <w:tcBorders>
              <w:right w:val="nil"/>
            </w:tcBorders>
            <w:shd w:val="clear" w:color="auto" w:fill="F2F2F2" w:themeFill="background1" w:themeFillShade="F2"/>
            <w:noWrap/>
            <w:hideMark/>
          </w:tcPr>
          <w:p w:rsidR="007B00BF" w:rsidRPr="007B00BF" w:rsidRDefault="007B00BF" w:rsidP="007B00BF">
            <w:pPr>
              <w:jc w:val="both"/>
              <w:rPr>
                <w:b/>
                <w:bCs/>
                <w:i/>
                <w:iCs/>
              </w:rPr>
            </w:pPr>
            <w:r w:rsidRPr="007B00BF">
              <w:rPr>
                <w:b/>
                <w:bCs/>
                <w:i/>
                <w:iCs/>
              </w:rPr>
              <w:t>Urban/Rural</w:t>
            </w:r>
          </w:p>
        </w:tc>
        <w:tc>
          <w:tcPr>
            <w:tcW w:w="2369" w:type="dxa"/>
            <w:tcBorders>
              <w:left w:val="nil"/>
              <w:right w:val="nil"/>
            </w:tcBorders>
            <w:shd w:val="clear" w:color="auto" w:fill="F2F2F2" w:themeFill="background1" w:themeFillShade="F2"/>
            <w:noWrap/>
            <w:hideMark/>
          </w:tcPr>
          <w:p w:rsidR="007B00BF" w:rsidRPr="007B00BF" w:rsidRDefault="007B00BF" w:rsidP="007B00BF">
            <w:pPr>
              <w:jc w:val="right"/>
            </w:pPr>
            <w:r w:rsidRPr="007B00BF">
              <w:t> </w:t>
            </w:r>
          </w:p>
        </w:tc>
        <w:tc>
          <w:tcPr>
            <w:tcW w:w="2462" w:type="dxa"/>
            <w:tcBorders>
              <w:left w:val="nil"/>
              <w:right w:val="nil"/>
            </w:tcBorders>
            <w:shd w:val="clear" w:color="auto" w:fill="F2F2F2" w:themeFill="background1" w:themeFillShade="F2"/>
            <w:noWrap/>
            <w:hideMark/>
          </w:tcPr>
          <w:p w:rsidR="007B00BF" w:rsidRPr="007B00BF" w:rsidRDefault="007B00BF" w:rsidP="007B00BF">
            <w:pPr>
              <w:jc w:val="right"/>
            </w:pPr>
            <w:r w:rsidRPr="007B00BF">
              <w:t> </w:t>
            </w:r>
          </w:p>
        </w:tc>
        <w:tc>
          <w:tcPr>
            <w:tcW w:w="1266" w:type="dxa"/>
            <w:tcBorders>
              <w:left w:val="nil"/>
              <w:right w:val="nil"/>
            </w:tcBorders>
            <w:shd w:val="clear" w:color="auto" w:fill="F2F2F2" w:themeFill="background1" w:themeFillShade="F2"/>
            <w:noWrap/>
            <w:hideMark/>
          </w:tcPr>
          <w:p w:rsidR="007B00BF" w:rsidRPr="007B00BF" w:rsidRDefault="007B00BF" w:rsidP="007B00BF">
            <w:pPr>
              <w:jc w:val="right"/>
            </w:pPr>
            <w:r w:rsidRPr="007B00BF">
              <w:t> </w:t>
            </w:r>
          </w:p>
        </w:tc>
        <w:tc>
          <w:tcPr>
            <w:tcW w:w="1223" w:type="dxa"/>
            <w:tcBorders>
              <w:left w:val="nil"/>
            </w:tcBorders>
            <w:shd w:val="clear" w:color="auto" w:fill="F2F2F2" w:themeFill="background1" w:themeFillShade="F2"/>
            <w:noWrap/>
            <w:hideMark/>
          </w:tcPr>
          <w:p w:rsidR="007B00BF" w:rsidRPr="007B00BF" w:rsidRDefault="007B00BF" w:rsidP="007B00BF">
            <w:pPr>
              <w:jc w:val="right"/>
            </w:pPr>
            <w:r w:rsidRPr="007B00BF">
              <w:t> </w:t>
            </w:r>
          </w:p>
        </w:tc>
      </w:tr>
      <w:tr w:rsidR="007B00BF" w:rsidRPr="007B00BF" w:rsidTr="00992593">
        <w:trPr>
          <w:trHeight w:val="300"/>
        </w:trPr>
        <w:tc>
          <w:tcPr>
            <w:tcW w:w="1696" w:type="dxa"/>
            <w:noWrap/>
            <w:hideMark/>
          </w:tcPr>
          <w:p w:rsidR="007B00BF" w:rsidRPr="007B00BF" w:rsidRDefault="007B00BF" w:rsidP="007B00BF">
            <w:pPr>
              <w:jc w:val="both"/>
            </w:pPr>
            <w:r w:rsidRPr="007B00BF">
              <w:t>Urban</w:t>
            </w:r>
          </w:p>
        </w:tc>
        <w:tc>
          <w:tcPr>
            <w:tcW w:w="2369" w:type="dxa"/>
            <w:noWrap/>
            <w:hideMark/>
          </w:tcPr>
          <w:p w:rsidR="007B00BF" w:rsidRPr="007B00BF" w:rsidRDefault="007B00BF" w:rsidP="007B00BF">
            <w:pPr>
              <w:jc w:val="right"/>
            </w:pPr>
            <w:r w:rsidRPr="007B00BF">
              <w:t>536.0</w:t>
            </w:r>
          </w:p>
        </w:tc>
        <w:tc>
          <w:tcPr>
            <w:tcW w:w="2462" w:type="dxa"/>
            <w:noWrap/>
            <w:hideMark/>
          </w:tcPr>
          <w:p w:rsidR="007B00BF" w:rsidRPr="007B00BF" w:rsidRDefault="007B00BF" w:rsidP="007B00BF">
            <w:pPr>
              <w:jc w:val="right"/>
            </w:pPr>
            <w:r w:rsidRPr="007B00BF">
              <w:t>522.8</w:t>
            </w:r>
          </w:p>
        </w:tc>
        <w:tc>
          <w:tcPr>
            <w:tcW w:w="1266" w:type="dxa"/>
            <w:noWrap/>
            <w:hideMark/>
          </w:tcPr>
          <w:p w:rsidR="007B00BF" w:rsidRPr="007B00BF" w:rsidRDefault="007B00BF" w:rsidP="007B00BF">
            <w:pPr>
              <w:jc w:val="right"/>
            </w:pPr>
            <w:r w:rsidRPr="007B00BF">
              <w:t>-13.1</w:t>
            </w:r>
          </w:p>
        </w:tc>
        <w:tc>
          <w:tcPr>
            <w:tcW w:w="1223" w:type="dxa"/>
            <w:noWrap/>
            <w:hideMark/>
          </w:tcPr>
          <w:p w:rsidR="007B00BF" w:rsidRPr="007B00BF" w:rsidRDefault="002D3C89" w:rsidP="007B00BF">
            <w:pPr>
              <w:jc w:val="right"/>
            </w:pPr>
            <w:r>
              <w:t>-2</w:t>
            </w:r>
          </w:p>
        </w:tc>
      </w:tr>
      <w:tr w:rsidR="007B00BF" w:rsidRPr="007B00BF" w:rsidTr="00992593">
        <w:trPr>
          <w:trHeight w:val="300"/>
        </w:trPr>
        <w:tc>
          <w:tcPr>
            <w:tcW w:w="1696" w:type="dxa"/>
            <w:tcBorders>
              <w:bottom w:val="single" w:sz="4" w:space="0" w:color="auto"/>
            </w:tcBorders>
            <w:noWrap/>
            <w:hideMark/>
          </w:tcPr>
          <w:p w:rsidR="007B00BF" w:rsidRPr="007B00BF" w:rsidRDefault="007B00BF" w:rsidP="007B00BF">
            <w:pPr>
              <w:jc w:val="both"/>
            </w:pPr>
            <w:r w:rsidRPr="007B00BF">
              <w:t>Rural</w:t>
            </w:r>
          </w:p>
        </w:tc>
        <w:tc>
          <w:tcPr>
            <w:tcW w:w="2369" w:type="dxa"/>
            <w:tcBorders>
              <w:bottom w:val="single" w:sz="4" w:space="0" w:color="auto"/>
            </w:tcBorders>
            <w:noWrap/>
            <w:hideMark/>
          </w:tcPr>
          <w:p w:rsidR="007B00BF" w:rsidRPr="007B00BF" w:rsidRDefault="007B00BF" w:rsidP="007B00BF">
            <w:pPr>
              <w:jc w:val="right"/>
            </w:pPr>
            <w:r w:rsidRPr="007B00BF">
              <w:t>716.3</w:t>
            </w:r>
          </w:p>
        </w:tc>
        <w:tc>
          <w:tcPr>
            <w:tcW w:w="2462" w:type="dxa"/>
            <w:tcBorders>
              <w:bottom w:val="single" w:sz="4" w:space="0" w:color="auto"/>
            </w:tcBorders>
            <w:noWrap/>
            <w:hideMark/>
          </w:tcPr>
          <w:p w:rsidR="007B00BF" w:rsidRPr="007B00BF" w:rsidRDefault="007B00BF" w:rsidP="007B00BF">
            <w:pPr>
              <w:jc w:val="right"/>
            </w:pPr>
            <w:r w:rsidRPr="007B00BF">
              <w:t>505.4</w:t>
            </w:r>
          </w:p>
        </w:tc>
        <w:tc>
          <w:tcPr>
            <w:tcW w:w="1266" w:type="dxa"/>
            <w:tcBorders>
              <w:bottom w:val="single" w:sz="4" w:space="0" w:color="auto"/>
            </w:tcBorders>
            <w:noWrap/>
            <w:hideMark/>
          </w:tcPr>
          <w:p w:rsidR="007B00BF" w:rsidRPr="007B00BF" w:rsidRDefault="007B00BF" w:rsidP="007B00BF">
            <w:pPr>
              <w:jc w:val="right"/>
            </w:pPr>
            <w:r w:rsidRPr="007B00BF">
              <w:t>-210.9</w:t>
            </w:r>
          </w:p>
        </w:tc>
        <w:tc>
          <w:tcPr>
            <w:tcW w:w="1223" w:type="dxa"/>
            <w:tcBorders>
              <w:bottom w:val="single" w:sz="4" w:space="0" w:color="auto"/>
            </w:tcBorders>
            <w:noWrap/>
            <w:hideMark/>
          </w:tcPr>
          <w:p w:rsidR="007B00BF" w:rsidRPr="007B00BF" w:rsidRDefault="002D3C89" w:rsidP="007B00BF">
            <w:pPr>
              <w:jc w:val="right"/>
            </w:pPr>
            <w:r>
              <w:t>-29</w:t>
            </w:r>
          </w:p>
        </w:tc>
      </w:tr>
      <w:tr w:rsidR="00992593" w:rsidRPr="007B00BF" w:rsidTr="00992593">
        <w:trPr>
          <w:trHeight w:val="300"/>
        </w:trPr>
        <w:tc>
          <w:tcPr>
            <w:tcW w:w="1696" w:type="dxa"/>
            <w:tcBorders>
              <w:right w:val="nil"/>
            </w:tcBorders>
            <w:shd w:val="clear" w:color="auto" w:fill="F2F2F2" w:themeFill="background1" w:themeFillShade="F2"/>
            <w:noWrap/>
            <w:hideMark/>
          </w:tcPr>
          <w:p w:rsidR="00992593" w:rsidRPr="007B00BF" w:rsidRDefault="00992593" w:rsidP="00992593">
            <w:pPr>
              <w:jc w:val="both"/>
              <w:rPr>
                <w:b/>
                <w:bCs/>
                <w:i/>
                <w:iCs/>
              </w:rPr>
            </w:pPr>
            <w:r w:rsidRPr="007B00BF">
              <w:rPr>
                <w:b/>
                <w:bCs/>
                <w:i/>
                <w:iCs/>
              </w:rPr>
              <w:t>Zone</w:t>
            </w:r>
          </w:p>
        </w:tc>
        <w:tc>
          <w:tcPr>
            <w:tcW w:w="2369" w:type="dxa"/>
            <w:tcBorders>
              <w:left w:val="nil"/>
              <w:right w:val="nil"/>
            </w:tcBorders>
            <w:shd w:val="clear" w:color="auto" w:fill="F2F2F2" w:themeFill="background1" w:themeFillShade="F2"/>
            <w:noWrap/>
            <w:hideMark/>
          </w:tcPr>
          <w:p w:rsidR="00992593" w:rsidRPr="007B00BF" w:rsidRDefault="00992593" w:rsidP="00992593">
            <w:pPr>
              <w:jc w:val="both"/>
            </w:pPr>
            <w:r w:rsidRPr="007B00BF">
              <w:t> </w:t>
            </w:r>
          </w:p>
        </w:tc>
        <w:tc>
          <w:tcPr>
            <w:tcW w:w="2462" w:type="dxa"/>
            <w:tcBorders>
              <w:left w:val="nil"/>
              <w:right w:val="nil"/>
            </w:tcBorders>
            <w:shd w:val="clear" w:color="auto" w:fill="F2F2F2" w:themeFill="background1" w:themeFillShade="F2"/>
            <w:noWrap/>
            <w:hideMark/>
          </w:tcPr>
          <w:p w:rsidR="00992593" w:rsidRPr="007B00BF" w:rsidRDefault="00992593" w:rsidP="00992593">
            <w:pPr>
              <w:jc w:val="both"/>
            </w:pPr>
            <w:r w:rsidRPr="007B00BF">
              <w:t> </w:t>
            </w:r>
          </w:p>
        </w:tc>
        <w:tc>
          <w:tcPr>
            <w:tcW w:w="1266" w:type="dxa"/>
            <w:tcBorders>
              <w:left w:val="nil"/>
              <w:right w:val="nil"/>
            </w:tcBorders>
            <w:shd w:val="clear" w:color="auto" w:fill="F2F2F2" w:themeFill="background1" w:themeFillShade="F2"/>
            <w:noWrap/>
            <w:hideMark/>
          </w:tcPr>
          <w:p w:rsidR="00992593" w:rsidRPr="007B00BF" w:rsidRDefault="00992593" w:rsidP="00992593">
            <w:pPr>
              <w:jc w:val="both"/>
            </w:pPr>
            <w:r w:rsidRPr="007B00BF">
              <w:t> </w:t>
            </w:r>
          </w:p>
        </w:tc>
        <w:tc>
          <w:tcPr>
            <w:tcW w:w="1223" w:type="dxa"/>
            <w:tcBorders>
              <w:left w:val="nil"/>
            </w:tcBorders>
            <w:shd w:val="clear" w:color="auto" w:fill="F2F2F2" w:themeFill="background1" w:themeFillShade="F2"/>
            <w:noWrap/>
            <w:hideMark/>
          </w:tcPr>
          <w:p w:rsidR="00992593" w:rsidRPr="007B00BF" w:rsidRDefault="00992593" w:rsidP="00992593">
            <w:pPr>
              <w:jc w:val="both"/>
            </w:pPr>
            <w:r w:rsidRPr="007B00BF">
              <w:t> </w:t>
            </w:r>
          </w:p>
        </w:tc>
      </w:tr>
      <w:tr w:rsidR="00992593" w:rsidRPr="007B00BF" w:rsidTr="00992593">
        <w:trPr>
          <w:trHeight w:val="300"/>
        </w:trPr>
        <w:tc>
          <w:tcPr>
            <w:tcW w:w="1696" w:type="dxa"/>
            <w:noWrap/>
            <w:hideMark/>
          </w:tcPr>
          <w:p w:rsidR="00992593" w:rsidRPr="007B00BF" w:rsidRDefault="00992593" w:rsidP="00992593">
            <w:pPr>
              <w:jc w:val="both"/>
            </w:pPr>
            <w:r w:rsidRPr="007B00BF">
              <w:t>North</w:t>
            </w:r>
          </w:p>
        </w:tc>
        <w:tc>
          <w:tcPr>
            <w:tcW w:w="2369" w:type="dxa"/>
            <w:noWrap/>
            <w:hideMark/>
          </w:tcPr>
          <w:p w:rsidR="00992593" w:rsidRPr="007B00BF" w:rsidRDefault="00992593" w:rsidP="00992593">
            <w:pPr>
              <w:jc w:val="right"/>
            </w:pPr>
            <w:r w:rsidRPr="007B00BF">
              <w:t>371.2</w:t>
            </w:r>
          </w:p>
        </w:tc>
        <w:tc>
          <w:tcPr>
            <w:tcW w:w="2462" w:type="dxa"/>
            <w:noWrap/>
            <w:hideMark/>
          </w:tcPr>
          <w:p w:rsidR="00992593" w:rsidRPr="007B00BF" w:rsidRDefault="00992593" w:rsidP="00992593">
            <w:pPr>
              <w:jc w:val="right"/>
            </w:pPr>
            <w:r w:rsidRPr="007B00BF">
              <w:t>311.2</w:t>
            </w:r>
          </w:p>
        </w:tc>
        <w:tc>
          <w:tcPr>
            <w:tcW w:w="1266" w:type="dxa"/>
            <w:noWrap/>
            <w:hideMark/>
          </w:tcPr>
          <w:p w:rsidR="00992593" w:rsidRPr="007B00BF" w:rsidRDefault="00992593" w:rsidP="00992593">
            <w:pPr>
              <w:jc w:val="right"/>
            </w:pPr>
            <w:r w:rsidRPr="007B00BF">
              <w:t>-60.1</w:t>
            </w:r>
          </w:p>
        </w:tc>
        <w:tc>
          <w:tcPr>
            <w:tcW w:w="1223" w:type="dxa"/>
            <w:noWrap/>
            <w:hideMark/>
          </w:tcPr>
          <w:p w:rsidR="00992593" w:rsidRPr="007B00BF" w:rsidRDefault="002D3C89" w:rsidP="00992593">
            <w:pPr>
              <w:jc w:val="right"/>
            </w:pPr>
            <w:r>
              <w:t>-16</w:t>
            </w:r>
          </w:p>
        </w:tc>
      </w:tr>
      <w:tr w:rsidR="00992593" w:rsidRPr="007B00BF" w:rsidTr="00992593">
        <w:trPr>
          <w:trHeight w:val="300"/>
        </w:trPr>
        <w:tc>
          <w:tcPr>
            <w:tcW w:w="1696" w:type="dxa"/>
            <w:noWrap/>
            <w:hideMark/>
          </w:tcPr>
          <w:p w:rsidR="00992593" w:rsidRPr="007B00BF" w:rsidRDefault="00992593" w:rsidP="00992593">
            <w:pPr>
              <w:jc w:val="both"/>
            </w:pPr>
            <w:r w:rsidRPr="007B00BF">
              <w:t>Centre</w:t>
            </w:r>
          </w:p>
        </w:tc>
        <w:tc>
          <w:tcPr>
            <w:tcW w:w="2369" w:type="dxa"/>
            <w:noWrap/>
            <w:hideMark/>
          </w:tcPr>
          <w:p w:rsidR="00992593" w:rsidRPr="007B00BF" w:rsidRDefault="00992593" w:rsidP="00992593">
            <w:pPr>
              <w:jc w:val="right"/>
            </w:pPr>
            <w:r w:rsidRPr="007B00BF">
              <w:t>359.3</w:t>
            </w:r>
          </w:p>
        </w:tc>
        <w:tc>
          <w:tcPr>
            <w:tcW w:w="2462" w:type="dxa"/>
            <w:noWrap/>
            <w:hideMark/>
          </w:tcPr>
          <w:p w:rsidR="00992593" w:rsidRPr="007B00BF" w:rsidRDefault="00992593" w:rsidP="00992593">
            <w:pPr>
              <w:jc w:val="right"/>
            </w:pPr>
            <w:r w:rsidRPr="007B00BF">
              <w:t>236.2</w:t>
            </w:r>
          </w:p>
        </w:tc>
        <w:tc>
          <w:tcPr>
            <w:tcW w:w="1266" w:type="dxa"/>
            <w:noWrap/>
            <w:hideMark/>
          </w:tcPr>
          <w:p w:rsidR="00992593" w:rsidRPr="007B00BF" w:rsidRDefault="00992593" w:rsidP="00992593">
            <w:pPr>
              <w:jc w:val="right"/>
            </w:pPr>
            <w:r w:rsidRPr="007B00BF">
              <w:t>-123.1</w:t>
            </w:r>
          </w:p>
        </w:tc>
        <w:tc>
          <w:tcPr>
            <w:tcW w:w="1223" w:type="dxa"/>
            <w:noWrap/>
            <w:hideMark/>
          </w:tcPr>
          <w:p w:rsidR="00992593" w:rsidRPr="007B00BF" w:rsidRDefault="002D3C89" w:rsidP="00992593">
            <w:pPr>
              <w:jc w:val="right"/>
            </w:pPr>
            <w:r>
              <w:t>-34</w:t>
            </w:r>
          </w:p>
        </w:tc>
      </w:tr>
      <w:tr w:rsidR="007B00BF" w:rsidRPr="007B00BF" w:rsidTr="00992593">
        <w:trPr>
          <w:trHeight w:val="300"/>
        </w:trPr>
        <w:tc>
          <w:tcPr>
            <w:tcW w:w="1696" w:type="dxa"/>
            <w:noWrap/>
            <w:hideMark/>
          </w:tcPr>
          <w:p w:rsidR="007B00BF" w:rsidRPr="007B00BF" w:rsidRDefault="007B00BF" w:rsidP="007B00BF">
            <w:pPr>
              <w:jc w:val="both"/>
            </w:pPr>
            <w:r w:rsidRPr="007B00BF">
              <w:t>South</w:t>
            </w:r>
          </w:p>
        </w:tc>
        <w:tc>
          <w:tcPr>
            <w:tcW w:w="2369" w:type="dxa"/>
            <w:noWrap/>
            <w:hideMark/>
          </w:tcPr>
          <w:p w:rsidR="007B00BF" w:rsidRPr="007B00BF" w:rsidRDefault="007B00BF" w:rsidP="007B00BF">
            <w:pPr>
              <w:jc w:val="right"/>
            </w:pPr>
            <w:r w:rsidRPr="007B00BF">
              <w:t>202.5</w:t>
            </w:r>
          </w:p>
        </w:tc>
        <w:tc>
          <w:tcPr>
            <w:tcW w:w="2462" w:type="dxa"/>
            <w:noWrap/>
            <w:hideMark/>
          </w:tcPr>
          <w:p w:rsidR="007B00BF" w:rsidRPr="007B00BF" w:rsidRDefault="007B00BF" w:rsidP="007B00BF">
            <w:pPr>
              <w:jc w:val="right"/>
            </w:pPr>
            <w:r w:rsidRPr="007B00BF">
              <w:t>165.8</w:t>
            </w:r>
          </w:p>
        </w:tc>
        <w:tc>
          <w:tcPr>
            <w:tcW w:w="1266" w:type="dxa"/>
            <w:noWrap/>
            <w:hideMark/>
          </w:tcPr>
          <w:p w:rsidR="007B00BF" w:rsidRPr="007B00BF" w:rsidRDefault="007B00BF" w:rsidP="007B00BF">
            <w:pPr>
              <w:jc w:val="right"/>
            </w:pPr>
            <w:r w:rsidRPr="007B00BF">
              <w:t>-36.7</w:t>
            </w:r>
          </w:p>
        </w:tc>
        <w:tc>
          <w:tcPr>
            <w:tcW w:w="1223" w:type="dxa"/>
            <w:noWrap/>
            <w:hideMark/>
          </w:tcPr>
          <w:p w:rsidR="007B00BF" w:rsidRPr="007B00BF" w:rsidRDefault="002D3C89" w:rsidP="007B00BF">
            <w:pPr>
              <w:jc w:val="right"/>
            </w:pPr>
            <w:r>
              <w:t>-18</w:t>
            </w:r>
          </w:p>
        </w:tc>
      </w:tr>
      <w:tr w:rsidR="007B00BF" w:rsidRPr="007B00BF" w:rsidTr="00992593">
        <w:trPr>
          <w:trHeight w:val="300"/>
        </w:trPr>
        <w:tc>
          <w:tcPr>
            <w:tcW w:w="1696" w:type="dxa"/>
            <w:noWrap/>
            <w:hideMark/>
          </w:tcPr>
          <w:p w:rsidR="007B00BF" w:rsidRPr="007B00BF" w:rsidRDefault="007B00BF" w:rsidP="007B00BF">
            <w:pPr>
              <w:jc w:val="both"/>
            </w:pPr>
            <w:r w:rsidRPr="007B00BF">
              <w:t>Municipality Chisinau</w:t>
            </w:r>
          </w:p>
        </w:tc>
        <w:tc>
          <w:tcPr>
            <w:tcW w:w="2369" w:type="dxa"/>
            <w:noWrap/>
            <w:hideMark/>
          </w:tcPr>
          <w:p w:rsidR="007B00BF" w:rsidRPr="007B00BF" w:rsidRDefault="007B00BF" w:rsidP="007B00BF">
            <w:pPr>
              <w:jc w:val="right"/>
            </w:pPr>
            <w:r w:rsidRPr="007B00BF">
              <w:t>319.2</w:t>
            </w:r>
          </w:p>
        </w:tc>
        <w:tc>
          <w:tcPr>
            <w:tcW w:w="2462" w:type="dxa"/>
            <w:noWrap/>
            <w:hideMark/>
          </w:tcPr>
          <w:p w:rsidR="007B00BF" w:rsidRPr="007B00BF" w:rsidRDefault="007B00BF" w:rsidP="007B00BF">
            <w:pPr>
              <w:jc w:val="right"/>
            </w:pPr>
            <w:r w:rsidRPr="007B00BF">
              <w:t>315.1</w:t>
            </w:r>
          </w:p>
        </w:tc>
        <w:tc>
          <w:tcPr>
            <w:tcW w:w="1266" w:type="dxa"/>
            <w:noWrap/>
            <w:hideMark/>
          </w:tcPr>
          <w:p w:rsidR="007B00BF" w:rsidRPr="007B00BF" w:rsidRDefault="007B00BF" w:rsidP="007B00BF">
            <w:pPr>
              <w:jc w:val="right"/>
            </w:pPr>
            <w:r w:rsidRPr="007B00BF">
              <w:t>-4.1</w:t>
            </w:r>
          </w:p>
        </w:tc>
        <w:tc>
          <w:tcPr>
            <w:tcW w:w="1223" w:type="dxa"/>
            <w:noWrap/>
            <w:hideMark/>
          </w:tcPr>
          <w:p w:rsidR="007B00BF" w:rsidRPr="007B00BF" w:rsidRDefault="002D3C89" w:rsidP="007B00BF">
            <w:pPr>
              <w:jc w:val="right"/>
            </w:pPr>
            <w:r>
              <w:t>-1</w:t>
            </w:r>
          </w:p>
        </w:tc>
      </w:tr>
    </w:tbl>
    <w:p w:rsidR="00AE771C" w:rsidRDefault="00AE771C" w:rsidP="001D71EF">
      <w:pPr>
        <w:jc w:val="both"/>
      </w:pPr>
    </w:p>
    <w:p w:rsidR="00AE1940" w:rsidRDefault="00AE1940" w:rsidP="001D71EF">
      <w:pPr>
        <w:jc w:val="both"/>
      </w:pPr>
    </w:p>
    <w:p w:rsidR="00913C4D" w:rsidRPr="00913C4D" w:rsidRDefault="00913C4D" w:rsidP="001D71EF">
      <w:pPr>
        <w:jc w:val="both"/>
        <w:rPr>
          <w:i/>
        </w:rPr>
      </w:pPr>
      <w:r>
        <w:rPr>
          <w:i/>
        </w:rPr>
        <w:t>Employment to population ratio</w:t>
      </w:r>
    </w:p>
    <w:p w:rsidR="00615875" w:rsidRDefault="00023021" w:rsidP="001D71EF">
      <w:pPr>
        <w:jc w:val="both"/>
      </w:pPr>
      <w:r>
        <w:t xml:space="preserve">Another important indicator to </w:t>
      </w:r>
      <w:r w:rsidR="002345C6">
        <w:t>highlight is the employment</w:t>
      </w:r>
      <w:r w:rsidR="00797C28">
        <w:t>-</w:t>
      </w:r>
      <w:r w:rsidR="002345C6">
        <w:t>to</w:t>
      </w:r>
      <w:r w:rsidR="00797C28">
        <w:t>-</w:t>
      </w:r>
      <w:r w:rsidR="002345C6">
        <w:t xml:space="preserve">population ratio. The change in the employment to population ration is consistent with the changes to the number of persons employed, because in this case the overall population involved is the same. Table 4 shows the change in the employment population ratio </w:t>
      </w:r>
      <w:r w:rsidR="006133AA">
        <w:t xml:space="preserve">for different subgroups </w:t>
      </w:r>
      <w:r w:rsidR="002345C6">
        <w:t>on average for 2018</w:t>
      </w:r>
      <w:r w:rsidR="006133AA">
        <w:t>. Overall the employment to population ratio was 9.7 percentage points lower under the new standards. By age group the greatest reductions were in the 55 to 64 and 6</w:t>
      </w:r>
      <w:r w:rsidR="00741D79">
        <w:t>5</w:t>
      </w:r>
      <w:r w:rsidR="006133AA">
        <w:t>+ age groups, rural areas and the Centre zone.</w:t>
      </w:r>
    </w:p>
    <w:p w:rsidR="00AE1940" w:rsidRDefault="00AE1940" w:rsidP="001D71EF">
      <w:pPr>
        <w:jc w:val="both"/>
      </w:pPr>
    </w:p>
    <w:p w:rsidR="00AE1940" w:rsidRDefault="00AE1940" w:rsidP="001D71EF">
      <w:pPr>
        <w:jc w:val="both"/>
      </w:pPr>
    </w:p>
    <w:p w:rsidR="00AE1940" w:rsidRDefault="00AE1940" w:rsidP="001D71EF">
      <w:pPr>
        <w:jc w:val="both"/>
      </w:pPr>
    </w:p>
    <w:p w:rsidR="006133AA" w:rsidRPr="007B00BF" w:rsidRDefault="006133AA" w:rsidP="006133AA">
      <w:pPr>
        <w:jc w:val="both"/>
        <w:rPr>
          <w:b/>
        </w:rPr>
      </w:pPr>
      <w:r>
        <w:rPr>
          <w:b/>
        </w:rPr>
        <w:lastRenderedPageBreak/>
        <w:t>Table 4: Impact of introduction of the new standards on Employment to Population Ratio by population subgroup, 2018</w:t>
      </w:r>
    </w:p>
    <w:tbl>
      <w:tblPr>
        <w:tblStyle w:val="a8"/>
        <w:tblW w:w="0" w:type="auto"/>
        <w:tblLook w:val="04A0"/>
      </w:tblPr>
      <w:tblGrid>
        <w:gridCol w:w="1857"/>
        <w:gridCol w:w="2761"/>
        <w:gridCol w:w="2865"/>
        <w:gridCol w:w="1533"/>
      </w:tblGrid>
      <w:tr w:rsidR="00992593" w:rsidRPr="00992593" w:rsidTr="006133AA">
        <w:trPr>
          <w:trHeight w:val="300"/>
        </w:trPr>
        <w:tc>
          <w:tcPr>
            <w:tcW w:w="1857" w:type="dxa"/>
            <w:shd w:val="clear" w:color="auto" w:fill="D9D9D9" w:themeFill="background1" w:themeFillShade="D9"/>
            <w:noWrap/>
            <w:hideMark/>
          </w:tcPr>
          <w:p w:rsidR="00992593" w:rsidRPr="00992593" w:rsidRDefault="00992593" w:rsidP="00992593">
            <w:pPr>
              <w:jc w:val="both"/>
            </w:pPr>
            <w:r w:rsidRPr="00992593">
              <w:t> </w:t>
            </w:r>
          </w:p>
        </w:tc>
        <w:tc>
          <w:tcPr>
            <w:tcW w:w="5626" w:type="dxa"/>
            <w:gridSpan w:val="2"/>
            <w:shd w:val="clear" w:color="auto" w:fill="D9D9D9" w:themeFill="background1" w:themeFillShade="D9"/>
            <w:noWrap/>
            <w:hideMark/>
          </w:tcPr>
          <w:p w:rsidR="00992593" w:rsidRPr="00992593" w:rsidRDefault="00992593" w:rsidP="006133AA">
            <w:pPr>
              <w:jc w:val="center"/>
            </w:pPr>
            <w:r w:rsidRPr="00992593">
              <w:t>2018 average</w:t>
            </w:r>
          </w:p>
        </w:tc>
        <w:tc>
          <w:tcPr>
            <w:tcW w:w="1533" w:type="dxa"/>
            <w:shd w:val="clear" w:color="auto" w:fill="D9D9D9" w:themeFill="background1" w:themeFillShade="D9"/>
            <w:noWrap/>
            <w:hideMark/>
          </w:tcPr>
          <w:p w:rsidR="00992593" w:rsidRPr="00992593" w:rsidRDefault="00992593" w:rsidP="00992593">
            <w:pPr>
              <w:jc w:val="both"/>
            </w:pPr>
            <w:r w:rsidRPr="00992593">
              <w:t> </w:t>
            </w:r>
          </w:p>
        </w:tc>
      </w:tr>
      <w:tr w:rsidR="00992593" w:rsidRPr="00992593" w:rsidTr="006133AA">
        <w:trPr>
          <w:trHeight w:val="300"/>
        </w:trPr>
        <w:tc>
          <w:tcPr>
            <w:tcW w:w="1857" w:type="dxa"/>
            <w:shd w:val="clear" w:color="auto" w:fill="D9D9D9" w:themeFill="background1" w:themeFillShade="D9"/>
            <w:noWrap/>
            <w:hideMark/>
          </w:tcPr>
          <w:p w:rsidR="00992593" w:rsidRPr="00992593" w:rsidRDefault="00992593" w:rsidP="00992593">
            <w:pPr>
              <w:jc w:val="both"/>
            </w:pPr>
            <w:r w:rsidRPr="00992593">
              <w:t> </w:t>
            </w:r>
          </w:p>
        </w:tc>
        <w:tc>
          <w:tcPr>
            <w:tcW w:w="2761" w:type="dxa"/>
            <w:noWrap/>
            <w:hideMark/>
          </w:tcPr>
          <w:p w:rsidR="00992593" w:rsidRPr="00992593" w:rsidRDefault="00992593" w:rsidP="00992593">
            <w:pPr>
              <w:jc w:val="both"/>
              <w:rPr>
                <w:b/>
                <w:bCs/>
              </w:rPr>
            </w:pPr>
            <w:r w:rsidRPr="00992593">
              <w:rPr>
                <w:b/>
                <w:bCs/>
              </w:rPr>
              <w:t>Old standards, stable population</w:t>
            </w:r>
          </w:p>
        </w:tc>
        <w:tc>
          <w:tcPr>
            <w:tcW w:w="2865" w:type="dxa"/>
            <w:noWrap/>
            <w:hideMark/>
          </w:tcPr>
          <w:p w:rsidR="00992593" w:rsidRPr="00992593" w:rsidRDefault="00992593" w:rsidP="00992593">
            <w:pPr>
              <w:jc w:val="both"/>
              <w:rPr>
                <w:b/>
                <w:bCs/>
              </w:rPr>
            </w:pPr>
            <w:r w:rsidRPr="00992593">
              <w:rPr>
                <w:b/>
                <w:bCs/>
              </w:rPr>
              <w:t>New Standards, stable population</w:t>
            </w:r>
          </w:p>
        </w:tc>
        <w:tc>
          <w:tcPr>
            <w:tcW w:w="1533" w:type="dxa"/>
            <w:noWrap/>
            <w:hideMark/>
          </w:tcPr>
          <w:p w:rsidR="00992593" w:rsidRPr="00992593" w:rsidRDefault="00992593" w:rsidP="00992593">
            <w:pPr>
              <w:jc w:val="both"/>
              <w:rPr>
                <w:b/>
                <w:bCs/>
              </w:rPr>
            </w:pPr>
            <w:r w:rsidRPr="00992593">
              <w:rPr>
                <w:b/>
                <w:bCs/>
              </w:rPr>
              <w:t>Difference (pp)</w:t>
            </w:r>
          </w:p>
        </w:tc>
      </w:tr>
      <w:tr w:rsidR="00992593" w:rsidRPr="00992593" w:rsidTr="006133AA">
        <w:trPr>
          <w:trHeight w:val="300"/>
        </w:trPr>
        <w:tc>
          <w:tcPr>
            <w:tcW w:w="1857" w:type="dxa"/>
            <w:shd w:val="clear" w:color="auto" w:fill="F2F2F2" w:themeFill="background1" w:themeFillShade="F2"/>
            <w:noWrap/>
            <w:hideMark/>
          </w:tcPr>
          <w:p w:rsidR="00992593" w:rsidRPr="00992593" w:rsidRDefault="00992593" w:rsidP="00992593">
            <w:pPr>
              <w:jc w:val="both"/>
            </w:pPr>
            <w:r w:rsidRPr="00992593">
              <w:t> </w:t>
            </w:r>
          </w:p>
        </w:tc>
        <w:tc>
          <w:tcPr>
            <w:tcW w:w="5626" w:type="dxa"/>
            <w:gridSpan w:val="2"/>
            <w:shd w:val="clear" w:color="auto" w:fill="F2F2F2" w:themeFill="background1" w:themeFillShade="F2"/>
            <w:noWrap/>
            <w:hideMark/>
          </w:tcPr>
          <w:p w:rsidR="00992593" w:rsidRPr="006133AA" w:rsidRDefault="006133AA" w:rsidP="006133AA">
            <w:pPr>
              <w:jc w:val="center"/>
              <w:rPr>
                <w:sz w:val="20"/>
              </w:rPr>
            </w:pPr>
            <w:r>
              <w:rPr>
                <w:sz w:val="20"/>
              </w:rPr>
              <w:t>Employment to Population Ratio %</w:t>
            </w:r>
          </w:p>
        </w:tc>
        <w:tc>
          <w:tcPr>
            <w:tcW w:w="1533" w:type="dxa"/>
            <w:shd w:val="clear" w:color="auto" w:fill="F2F2F2" w:themeFill="background1" w:themeFillShade="F2"/>
            <w:noWrap/>
            <w:hideMark/>
          </w:tcPr>
          <w:p w:rsidR="00992593" w:rsidRPr="006133AA" w:rsidRDefault="00992593" w:rsidP="006133AA">
            <w:pPr>
              <w:jc w:val="center"/>
              <w:rPr>
                <w:sz w:val="20"/>
              </w:rPr>
            </w:pPr>
            <w:r w:rsidRPr="006133AA">
              <w:rPr>
                <w:sz w:val="20"/>
              </w:rPr>
              <w:t>PP</w:t>
            </w:r>
          </w:p>
        </w:tc>
      </w:tr>
      <w:tr w:rsidR="00992593" w:rsidRPr="00992593" w:rsidTr="006133AA">
        <w:trPr>
          <w:trHeight w:val="300"/>
        </w:trPr>
        <w:tc>
          <w:tcPr>
            <w:tcW w:w="1857" w:type="dxa"/>
            <w:noWrap/>
            <w:hideMark/>
          </w:tcPr>
          <w:p w:rsidR="00992593" w:rsidRPr="00992593" w:rsidRDefault="00992593" w:rsidP="00992593">
            <w:pPr>
              <w:jc w:val="both"/>
              <w:rPr>
                <w:b/>
                <w:bCs/>
                <w:i/>
                <w:iCs/>
              </w:rPr>
            </w:pPr>
            <w:r w:rsidRPr="00992593">
              <w:rPr>
                <w:b/>
                <w:bCs/>
                <w:i/>
                <w:iCs/>
              </w:rPr>
              <w:t>Total</w:t>
            </w:r>
          </w:p>
        </w:tc>
        <w:tc>
          <w:tcPr>
            <w:tcW w:w="2761" w:type="dxa"/>
            <w:noWrap/>
            <w:hideMark/>
          </w:tcPr>
          <w:p w:rsidR="00992593" w:rsidRPr="00992593" w:rsidRDefault="00992593" w:rsidP="006133AA">
            <w:pPr>
              <w:jc w:val="right"/>
            </w:pPr>
            <w:r w:rsidRPr="00992593">
              <w:t>4</w:t>
            </w:r>
            <w:r w:rsidR="006133AA">
              <w:t>2.0</w:t>
            </w:r>
          </w:p>
        </w:tc>
        <w:tc>
          <w:tcPr>
            <w:tcW w:w="2865" w:type="dxa"/>
            <w:noWrap/>
            <w:hideMark/>
          </w:tcPr>
          <w:p w:rsidR="00992593" w:rsidRPr="00992593" w:rsidRDefault="00992593" w:rsidP="006133AA">
            <w:pPr>
              <w:jc w:val="right"/>
            </w:pPr>
            <w:r w:rsidRPr="00992593">
              <w:t>34.5</w:t>
            </w:r>
          </w:p>
        </w:tc>
        <w:tc>
          <w:tcPr>
            <w:tcW w:w="1533" w:type="dxa"/>
            <w:noWrap/>
            <w:hideMark/>
          </w:tcPr>
          <w:p w:rsidR="00992593" w:rsidRPr="00992593" w:rsidRDefault="00992593" w:rsidP="006133AA">
            <w:pPr>
              <w:jc w:val="right"/>
            </w:pPr>
            <w:r w:rsidRPr="00992593">
              <w:t>-</w:t>
            </w:r>
            <w:r w:rsidR="006133AA">
              <w:t>7.5</w:t>
            </w:r>
          </w:p>
        </w:tc>
      </w:tr>
      <w:tr w:rsidR="00992593" w:rsidRPr="00992593" w:rsidTr="006133AA">
        <w:trPr>
          <w:trHeight w:val="300"/>
        </w:trPr>
        <w:tc>
          <w:tcPr>
            <w:tcW w:w="9016" w:type="dxa"/>
            <w:gridSpan w:val="4"/>
            <w:shd w:val="clear" w:color="auto" w:fill="F2F2F2" w:themeFill="background1" w:themeFillShade="F2"/>
            <w:noWrap/>
            <w:hideMark/>
          </w:tcPr>
          <w:p w:rsidR="00992593" w:rsidRPr="00992593" w:rsidRDefault="00992593" w:rsidP="00992593">
            <w:pPr>
              <w:jc w:val="both"/>
              <w:rPr>
                <w:b/>
                <w:bCs/>
                <w:i/>
                <w:iCs/>
              </w:rPr>
            </w:pPr>
            <w:r w:rsidRPr="00992593">
              <w:rPr>
                <w:b/>
                <w:bCs/>
                <w:i/>
                <w:iCs/>
              </w:rPr>
              <w:t>Sex</w:t>
            </w:r>
          </w:p>
        </w:tc>
      </w:tr>
      <w:tr w:rsidR="00992593" w:rsidRPr="00992593" w:rsidTr="006133AA">
        <w:trPr>
          <w:trHeight w:val="300"/>
        </w:trPr>
        <w:tc>
          <w:tcPr>
            <w:tcW w:w="1857" w:type="dxa"/>
            <w:noWrap/>
            <w:hideMark/>
          </w:tcPr>
          <w:p w:rsidR="00992593" w:rsidRPr="00992593" w:rsidRDefault="00992593" w:rsidP="00992593">
            <w:pPr>
              <w:jc w:val="both"/>
            </w:pPr>
            <w:r w:rsidRPr="00992593">
              <w:t>Males</w:t>
            </w:r>
          </w:p>
        </w:tc>
        <w:tc>
          <w:tcPr>
            <w:tcW w:w="2761" w:type="dxa"/>
            <w:noWrap/>
            <w:hideMark/>
          </w:tcPr>
          <w:p w:rsidR="00992593" w:rsidRPr="00992593" w:rsidRDefault="00992593" w:rsidP="006133AA">
            <w:pPr>
              <w:jc w:val="right"/>
            </w:pPr>
            <w:r w:rsidRPr="00992593">
              <w:t>44.2</w:t>
            </w:r>
          </w:p>
        </w:tc>
        <w:tc>
          <w:tcPr>
            <w:tcW w:w="2865" w:type="dxa"/>
            <w:noWrap/>
            <w:hideMark/>
          </w:tcPr>
          <w:p w:rsidR="00992593" w:rsidRPr="00992593" w:rsidRDefault="00992593" w:rsidP="006133AA">
            <w:pPr>
              <w:jc w:val="right"/>
            </w:pPr>
            <w:r w:rsidRPr="00992593">
              <w:t>36.2</w:t>
            </w:r>
          </w:p>
        </w:tc>
        <w:tc>
          <w:tcPr>
            <w:tcW w:w="1533" w:type="dxa"/>
            <w:noWrap/>
            <w:hideMark/>
          </w:tcPr>
          <w:p w:rsidR="00992593" w:rsidRPr="00992593" w:rsidRDefault="00992593" w:rsidP="006133AA">
            <w:pPr>
              <w:jc w:val="right"/>
            </w:pPr>
            <w:r w:rsidRPr="00992593">
              <w:t>-8.0</w:t>
            </w:r>
          </w:p>
        </w:tc>
      </w:tr>
      <w:tr w:rsidR="00992593" w:rsidRPr="00992593" w:rsidTr="006133AA">
        <w:trPr>
          <w:trHeight w:val="300"/>
        </w:trPr>
        <w:tc>
          <w:tcPr>
            <w:tcW w:w="1857" w:type="dxa"/>
            <w:noWrap/>
            <w:hideMark/>
          </w:tcPr>
          <w:p w:rsidR="00992593" w:rsidRPr="00992593" w:rsidRDefault="00992593" w:rsidP="00992593">
            <w:pPr>
              <w:jc w:val="both"/>
            </w:pPr>
            <w:r w:rsidRPr="00992593">
              <w:t>Females</w:t>
            </w:r>
          </w:p>
        </w:tc>
        <w:tc>
          <w:tcPr>
            <w:tcW w:w="2761" w:type="dxa"/>
            <w:noWrap/>
            <w:hideMark/>
          </w:tcPr>
          <w:p w:rsidR="00992593" w:rsidRPr="00992593" w:rsidRDefault="00992593" w:rsidP="006133AA">
            <w:pPr>
              <w:jc w:val="right"/>
            </w:pPr>
            <w:r w:rsidRPr="00992593">
              <w:t>40.0</w:t>
            </w:r>
          </w:p>
        </w:tc>
        <w:tc>
          <w:tcPr>
            <w:tcW w:w="2865" w:type="dxa"/>
            <w:noWrap/>
            <w:hideMark/>
          </w:tcPr>
          <w:p w:rsidR="00992593" w:rsidRPr="00992593" w:rsidRDefault="00992593" w:rsidP="006133AA">
            <w:pPr>
              <w:jc w:val="right"/>
            </w:pPr>
            <w:r w:rsidRPr="00992593">
              <w:t>32.9</w:t>
            </w:r>
          </w:p>
        </w:tc>
        <w:tc>
          <w:tcPr>
            <w:tcW w:w="1533" w:type="dxa"/>
            <w:noWrap/>
            <w:hideMark/>
          </w:tcPr>
          <w:p w:rsidR="00992593" w:rsidRPr="00992593" w:rsidRDefault="00992593" w:rsidP="006133AA">
            <w:pPr>
              <w:jc w:val="right"/>
            </w:pPr>
            <w:r w:rsidRPr="00992593">
              <w:t>-7.1</w:t>
            </w:r>
          </w:p>
        </w:tc>
      </w:tr>
      <w:tr w:rsidR="00992593" w:rsidRPr="00992593" w:rsidTr="006133AA">
        <w:trPr>
          <w:trHeight w:val="300"/>
        </w:trPr>
        <w:tc>
          <w:tcPr>
            <w:tcW w:w="9016" w:type="dxa"/>
            <w:gridSpan w:val="4"/>
            <w:shd w:val="clear" w:color="auto" w:fill="F2F2F2" w:themeFill="background1" w:themeFillShade="F2"/>
            <w:noWrap/>
            <w:hideMark/>
          </w:tcPr>
          <w:p w:rsidR="00992593" w:rsidRPr="00992593" w:rsidRDefault="00992593" w:rsidP="00992593">
            <w:pPr>
              <w:jc w:val="both"/>
              <w:rPr>
                <w:b/>
                <w:bCs/>
                <w:i/>
                <w:iCs/>
              </w:rPr>
            </w:pPr>
            <w:r w:rsidRPr="00992593">
              <w:rPr>
                <w:b/>
                <w:bCs/>
                <w:i/>
                <w:iCs/>
              </w:rPr>
              <w:t>Age</w:t>
            </w:r>
          </w:p>
        </w:tc>
      </w:tr>
      <w:tr w:rsidR="00992593" w:rsidRPr="00992593" w:rsidTr="006133AA">
        <w:trPr>
          <w:trHeight w:val="300"/>
        </w:trPr>
        <w:tc>
          <w:tcPr>
            <w:tcW w:w="1857" w:type="dxa"/>
            <w:noWrap/>
            <w:hideMark/>
          </w:tcPr>
          <w:p w:rsidR="00992593" w:rsidRPr="00992593" w:rsidRDefault="00992593" w:rsidP="00992593">
            <w:pPr>
              <w:jc w:val="both"/>
            </w:pPr>
            <w:r w:rsidRPr="00992593">
              <w:t>15-24 years</w:t>
            </w:r>
          </w:p>
        </w:tc>
        <w:tc>
          <w:tcPr>
            <w:tcW w:w="2761" w:type="dxa"/>
            <w:noWrap/>
            <w:hideMark/>
          </w:tcPr>
          <w:p w:rsidR="00992593" w:rsidRPr="00992593" w:rsidRDefault="00992593" w:rsidP="006133AA">
            <w:pPr>
              <w:jc w:val="right"/>
            </w:pPr>
            <w:r w:rsidRPr="00992593">
              <w:t>19.3</w:t>
            </w:r>
          </w:p>
        </w:tc>
        <w:tc>
          <w:tcPr>
            <w:tcW w:w="2865" w:type="dxa"/>
            <w:noWrap/>
            <w:hideMark/>
          </w:tcPr>
          <w:p w:rsidR="00992593" w:rsidRPr="00992593" w:rsidRDefault="00992593" w:rsidP="006133AA">
            <w:pPr>
              <w:jc w:val="right"/>
            </w:pPr>
            <w:r w:rsidRPr="00992593">
              <w:t>16.0</w:t>
            </w:r>
          </w:p>
        </w:tc>
        <w:tc>
          <w:tcPr>
            <w:tcW w:w="1533" w:type="dxa"/>
            <w:noWrap/>
            <w:hideMark/>
          </w:tcPr>
          <w:p w:rsidR="00992593" w:rsidRPr="00992593" w:rsidRDefault="00992593" w:rsidP="006133AA">
            <w:pPr>
              <w:jc w:val="right"/>
            </w:pPr>
            <w:r w:rsidRPr="00992593">
              <w:t>-3.3</w:t>
            </w:r>
          </w:p>
        </w:tc>
      </w:tr>
      <w:tr w:rsidR="00992593" w:rsidRPr="00992593" w:rsidTr="006133AA">
        <w:trPr>
          <w:trHeight w:val="300"/>
        </w:trPr>
        <w:tc>
          <w:tcPr>
            <w:tcW w:w="1857" w:type="dxa"/>
            <w:noWrap/>
            <w:hideMark/>
          </w:tcPr>
          <w:p w:rsidR="00992593" w:rsidRPr="00992593" w:rsidRDefault="00992593" w:rsidP="00992593">
            <w:pPr>
              <w:jc w:val="both"/>
            </w:pPr>
            <w:r w:rsidRPr="00992593">
              <w:t>25-54 years</w:t>
            </w:r>
          </w:p>
        </w:tc>
        <w:tc>
          <w:tcPr>
            <w:tcW w:w="2761" w:type="dxa"/>
            <w:noWrap/>
            <w:hideMark/>
          </w:tcPr>
          <w:p w:rsidR="00992593" w:rsidRPr="00992593" w:rsidRDefault="00992593" w:rsidP="006133AA">
            <w:pPr>
              <w:jc w:val="right"/>
            </w:pPr>
            <w:r w:rsidRPr="00992593">
              <w:t>53.1</w:t>
            </w:r>
          </w:p>
        </w:tc>
        <w:tc>
          <w:tcPr>
            <w:tcW w:w="2865" w:type="dxa"/>
            <w:noWrap/>
            <w:hideMark/>
          </w:tcPr>
          <w:p w:rsidR="00992593" w:rsidRPr="00992593" w:rsidRDefault="00992593" w:rsidP="006133AA">
            <w:pPr>
              <w:jc w:val="right"/>
            </w:pPr>
            <w:r w:rsidRPr="00992593">
              <w:t>46.3</w:t>
            </w:r>
          </w:p>
        </w:tc>
        <w:tc>
          <w:tcPr>
            <w:tcW w:w="1533" w:type="dxa"/>
            <w:noWrap/>
            <w:hideMark/>
          </w:tcPr>
          <w:p w:rsidR="00992593" w:rsidRPr="00992593" w:rsidRDefault="00992593" w:rsidP="006133AA">
            <w:pPr>
              <w:jc w:val="right"/>
            </w:pPr>
            <w:r w:rsidRPr="00992593">
              <w:t>-6.9</w:t>
            </w:r>
          </w:p>
        </w:tc>
      </w:tr>
      <w:tr w:rsidR="00992593" w:rsidRPr="00992593" w:rsidTr="006133AA">
        <w:trPr>
          <w:trHeight w:val="300"/>
        </w:trPr>
        <w:tc>
          <w:tcPr>
            <w:tcW w:w="1857" w:type="dxa"/>
            <w:noWrap/>
            <w:hideMark/>
          </w:tcPr>
          <w:p w:rsidR="00992593" w:rsidRPr="00992593" w:rsidRDefault="00992593" w:rsidP="00992593">
            <w:pPr>
              <w:jc w:val="both"/>
            </w:pPr>
            <w:r w:rsidRPr="00992593">
              <w:t>55-64 years</w:t>
            </w:r>
          </w:p>
        </w:tc>
        <w:tc>
          <w:tcPr>
            <w:tcW w:w="2761" w:type="dxa"/>
            <w:noWrap/>
            <w:hideMark/>
          </w:tcPr>
          <w:p w:rsidR="00992593" w:rsidRPr="00992593" w:rsidRDefault="00992593" w:rsidP="006133AA">
            <w:pPr>
              <w:jc w:val="right"/>
            </w:pPr>
            <w:r w:rsidRPr="00992593">
              <w:t>46.6</w:t>
            </w:r>
          </w:p>
        </w:tc>
        <w:tc>
          <w:tcPr>
            <w:tcW w:w="2865" w:type="dxa"/>
            <w:noWrap/>
            <w:hideMark/>
          </w:tcPr>
          <w:p w:rsidR="00992593" w:rsidRPr="00992593" w:rsidRDefault="00992593" w:rsidP="006133AA">
            <w:pPr>
              <w:jc w:val="right"/>
            </w:pPr>
            <w:r w:rsidRPr="00992593">
              <w:t>35.3</w:t>
            </w:r>
          </w:p>
        </w:tc>
        <w:tc>
          <w:tcPr>
            <w:tcW w:w="1533" w:type="dxa"/>
            <w:noWrap/>
            <w:hideMark/>
          </w:tcPr>
          <w:p w:rsidR="00992593" w:rsidRPr="00992593" w:rsidRDefault="00992593" w:rsidP="006133AA">
            <w:pPr>
              <w:jc w:val="right"/>
            </w:pPr>
            <w:r w:rsidRPr="00992593">
              <w:t>-11.3</w:t>
            </w:r>
          </w:p>
        </w:tc>
      </w:tr>
      <w:tr w:rsidR="00992593" w:rsidRPr="00992593" w:rsidTr="006133AA">
        <w:trPr>
          <w:trHeight w:val="300"/>
        </w:trPr>
        <w:tc>
          <w:tcPr>
            <w:tcW w:w="1857" w:type="dxa"/>
            <w:noWrap/>
            <w:hideMark/>
          </w:tcPr>
          <w:p w:rsidR="00992593" w:rsidRPr="00992593" w:rsidRDefault="00992593" w:rsidP="00992593">
            <w:pPr>
              <w:jc w:val="both"/>
            </w:pPr>
            <w:r w:rsidRPr="00992593">
              <w:t>65+</w:t>
            </w:r>
          </w:p>
        </w:tc>
        <w:tc>
          <w:tcPr>
            <w:tcW w:w="2761" w:type="dxa"/>
            <w:noWrap/>
            <w:hideMark/>
          </w:tcPr>
          <w:p w:rsidR="00992593" w:rsidRPr="00992593" w:rsidRDefault="00992593" w:rsidP="006133AA">
            <w:pPr>
              <w:jc w:val="right"/>
            </w:pPr>
            <w:r w:rsidRPr="00992593">
              <w:t>16.1</w:t>
            </w:r>
          </w:p>
        </w:tc>
        <w:tc>
          <w:tcPr>
            <w:tcW w:w="2865" w:type="dxa"/>
            <w:noWrap/>
            <w:hideMark/>
          </w:tcPr>
          <w:p w:rsidR="00992593" w:rsidRPr="00992593" w:rsidRDefault="00992593" w:rsidP="006133AA">
            <w:pPr>
              <w:jc w:val="right"/>
            </w:pPr>
            <w:r w:rsidRPr="00992593">
              <w:t>6.0</w:t>
            </w:r>
          </w:p>
        </w:tc>
        <w:tc>
          <w:tcPr>
            <w:tcW w:w="1533" w:type="dxa"/>
            <w:noWrap/>
            <w:hideMark/>
          </w:tcPr>
          <w:p w:rsidR="00992593" w:rsidRPr="00992593" w:rsidRDefault="00992593" w:rsidP="006133AA">
            <w:pPr>
              <w:jc w:val="right"/>
            </w:pPr>
            <w:r w:rsidRPr="00992593">
              <w:t>-10.1</w:t>
            </w:r>
          </w:p>
        </w:tc>
      </w:tr>
      <w:tr w:rsidR="00992593" w:rsidRPr="00992593" w:rsidTr="006133AA">
        <w:trPr>
          <w:trHeight w:val="300"/>
        </w:trPr>
        <w:tc>
          <w:tcPr>
            <w:tcW w:w="9016" w:type="dxa"/>
            <w:gridSpan w:val="4"/>
            <w:shd w:val="clear" w:color="auto" w:fill="F2F2F2" w:themeFill="background1" w:themeFillShade="F2"/>
            <w:noWrap/>
            <w:hideMark/>
          </w:tcPr>
          <w:p w:rsidR="00992593" w:rsidRPr="00992593" w:rsidRDefault="00992593" w:rsidP="00992593">
            <w:pPr>
              <w:jc w:val="both"/>
              <w:rPr>
                <w:b/>
                <w:bCs/>
                <w:i/>
                <w:iCs/>
              </w:rPr>
            </w:pPr>
            <w:r w:rsidRPr="00992593">
              <w:rPr>
                <w:b/>
                <w:bCs/>
                <w:i/>
                <w:iCs/>
              </w:rPr>
              <w:t>Urban/Rural</w:t>
            </w:r>
          </w:p>
        </w:tc>
      </w:tr>
      <w:tr w:rsidR="00992593" w:rsidRPr="00992593" w:rsidTr="006133AA">
        <w:trPr>
          <w:trHeight w:val="300"/>
        </w:trPr>
        <w:tc>
          <w:tcPr>
            <w:tcW w:w="1857" w:type="dxa"/>
            <w:noWrap/>
            <w:hideMark/>
          </w:tcPr>
          <w:p w:rsidR="00992593" w:rsidRPr="00992593" w:rsidRDefault="00992593" w:rsidP="00992593">
            <w:pPr>
              <w:jc w:val="both"/>
            </w:pPr>
            <w:r w:rsidRPr="00992593">
              <w:t>Urban</w:t>
            </w:r>
          </w:p>
        </w:tc>
        <w:tc>
          <w:tcPr>
            <w:tcW w:w="2761" w:type="dxa"/>
            <w:noWrap/>
            <w:hideMark/>
          </w:tcPr>
          <w:p w:rsidR="00992593" w:rsidRPr="00992593" w:rsidRDefault="00992593" w:rsidP="006133AA">
            <w:pPr>
              <w:jc w:val="right"/>
            </w:pPr>
            <w:r w:rsidRPr="00992593">
              <w:t>40.9</w:t>
            </w:r>
          </w:p>
        </w:tc>
        <w:tc>
          <w:tcPr>
            <w:tcW w:w="2865" w:type="dxa"/>
            <w:noWrap/>
            <w:hideMark/>
          </w:tcPr>
          <w:p w:rsidR="00992593" w:rsidRPr="00992593" w:rsidRDefault="00992593" w:rsidP="006133AA">
            <w:pPr>
              <w:jc w:val="right"/>
            </w:pPr>
            <w:r w:rsidRPr="00992593">
              <w:t>39.9</w:t>
            </w:r>
          </w:p>
        </w:tc>
        <w:tc>
          <w:tcPr>
            <w:tcW w:w="1533" w:type="dxa"/>
            <w:noWrap/>
            <w:hideMark/>
          </w:tcPr>
          <w:p w:rsidR="00992593" w:rsidRPr="00992593" w:rsidRDefault="00992593" w:rsidP="006133AA">
            <w:pPr>
              <w:jc w:val="right"/>
            </w:pPr>
            <w:r w:rsidRPr="00992593">
              <w:t>-1.0</w:t>
            </w:r>
          </w:p>
        </w:tc>
      </w:tr>
      <w:tr w:rsidR="00992593" w:rsidRPr="00992593" w:rsidTr="006133AA">
        <w:trPr>
          <w:trHeight w:val="300"/>
        </w:trPr>
        <w:tc>
          <w:tcPr>
            <w:tcW w:w="1857" w:type="dxa"/>
            <w:noWrap/>
            <w:hideMark/>
          </w:tcPr>
          <w:p w:rsidR="00992593" w:rsidRPr="00992593" w:rsidRDefault="00992593" w:rsidP="00992593">
            <w:pPr>
              <w:jc w:val="both"/>
            </w:pPr>
            <w:r w:rsidRPr="00992593">
              <w:t>Rural</w:t>
            </w:r>
          </w:p>
        </w:tc>
        <w:tc>
          <w:tcPr>
            <w:tcW w:w="2761" w:type="dxa"/>
            <w:noWrap/>
            <w:hideMark/>
          </w:tcPr>
          <w:p w:rsidR="00992593" w:rsidRPr="00992593" w:rsidRDefault="00992593" w:rsidP="006133AA">
            <w:pPr>
              <w:jc w:val="right"/>
            </w:pPr>
            <w:r w:rsidRPr="00992593">
              <w:t>42.8</w:t>
            </w:r>
          </w:p>
        </w:tc>
        <w:tc>
          <w:tcPr>
            <w:tcW w:w="2865" w:type="dxa"/>
            <w:noWrap/>
            <w:hideMark/>
          </w:tcPr>
          <w:p w:rsidR="00992593" w:rsidRPr="00992593" w:rsidRDefault="00992593" w:rsidP="006133AA">
            <w:pPr>
              <w:jc w:val="right"/>
            </w:pPr>
            <w:r w:rsidRPr="00992593">
              <w:t>30.2</w:t>
            </w:r>
          </w:p>
        </w:tc>
        <w:tc>
          <w:tcPr>
            <w:tcW w:w="1533" w:type="dxa"/>
            <w:noWrap/>
            <w:hideMark/>
          </w:tcPr>
          <w:p w:rsidR="00992593" w:rsidRPr="00992593" w:rsidRDefault="00992593" w:rsidP="006133AA">
            <w:pPr>
              <w:jc w:val="right"/>
            </w:pPr>
            <w:r w:rsidRPr="00992593">
              <w:t>-12.6</w:t>
            </w:r>
          </w:p>
        </w:tc>
      </w:tr>
      <w:tr w:rsidR="00992593" w:rsidRPr="00992593" w:rsidTr="006133AA">
        <w:trPr>
          <w:trHeight w:val="300"/>
        </w:trPr>
        <w:tc>
          <w:tcPr>
            <w:tcW w:w="9016" w:type="dxa"/>
            <w:gridSpan w:val="4"/>
            <w:shd w:val="clear" w:color="auto" w:fill="F2F2F2" w:themeFill="background1" w:themeFillShade="F2"/>
            <w:noWrap/>
            <w:hideMark/>
          </w:tcPr>
          <w:p w:rsidR="00992593" w:rsidRPr="00992593" w:rsidRDefault="00992593" w:rsidP="00992593">
            <w:pPr>
              <w:jc w:val="both"/>
              <w:rPr>
                <w:b/>
                <w:bCs/>
                <w:i/>
                <w:iCs/>
              </w:rPr>
            </w:pPr>
            <w:r w:rsidRPr="00992593">
              <w:rPr>
                <w:b/>
                <w:bCs/>
                <w:i/>
                <w:iCs/>
              </w:rPr>
              <w:t>Zone</w:t>
            </w:r>
          </w:p>
        </w:tc>
      </w:tr>
      <w:tr w:rsidR="00992593" w:rsidRPr="00992593" w:rsidTr="006133AA">
        <w:trPr>
          <w:trHeight w:val="300"/>
        </w:trPr>
        <w:tc>
          <w:tcPr>
            <w:tcW w:w="1857" w:type="dxa"/>
            <w:noWrap/>
            <w:hideMark/>
          </w:tcPr>
          <w:p w:rsidR="00992593" w:rsidRPr="00992593" w:rsidRDefault="00992593" w:rsidP="00992593">
            <w:pPr>
              <w:jc w:val="both"/>
            </w:pPr>
            <w:r w:rsidRPr="00992593">
              <w:t>North</w:t>
            </w:r>
          </w:p>
        </w:tc>
        <w:tc>
          <w:tcPr>
            <w:tcW w:w="2761" w:type="dxa"/>
            <w:noWrap/>
            <w:hideMark/>
          </w:tcPr>
          <w:p w:rsidR="00992593" w:rsidRPr="00992593" w:rsidRDefault="00992593" w:rsidP="006133AA">
            <w:pPr>
              <w:jc w:val="right"/>
            </w:pPr>
            <w:r w:rsidRPr="00992593">
              <w:t>42.9</w:t>
            </w:r>
          </w:p>
        </w:tc>
        <w:tc>
          <w:tcPr>
            <w:tcW w:w="2865" w:type="dxa"/>
            <w:noWrap/>
            <w:hideMark/>
          </w:tcPr>
          <w:p w:rsidR="00992593" w:rsidRPr="00992593" w:rsidRDefault="00992593" w:rsidP="006133AA">
            <w:pPr>
              <w:jc w:val="right"/>
            </w:pPr>
            <w:r w:rsidRPr="00992593">
              <w:t>35.9</w:t>
            </w:r>
          </w:p>
        </w:tc>
        <w:tc>
          <w:tcPr>
            <w:tcW w:w="1533" w:type="dxa"/>
            <w:noWrap/>
            <w:hideMark/>
          </w:tcPr>
          <w:p w:rsidR="00992593" w:rsidRPr="00992593" w:rsidRDefault="00992593" w:rsidP="006133AA">
            <w:pPr>
              <w:jc w:val="right"/>
            </w:pPr>
            <w:r w:rsidRPr="00992593">
              <w:t>-6.9</w:t>
            </w:r>
          </w:p>
        </w:tc>
      </w:tr>
      <w:tr w:rsidR="00992593" w:rsidRPr="00992593" w:rsidTr="006133AA">
        <w:trPr>
          <w:trHeight w:val="300"/>
        </w:trPr>
        <w:tc>
          <w:tcPr>
            <w:tcW w:w="1857" w:type="dxa"/>
            <w:noWrap/>
            <w:hideMark/>
          </w:tcPr>
          <w:p w:rsidR="00992593" w:rsidRPr="00992593" w:rsidRDefault="00992593" w:rsidP="00992593">
            <w:pPr>
              <w:jc w:val="both"/>
            </w:pPr>
            <w:r w:rsidRPr="00992593">
              <w:t>Centre</w:t>
            </w:r>
          </w:p>
        </w:tc>
        <w:tc>
          <w:tcPr>
            <w:tcW w:w="2761" w:type="dxa"/>
            <w:noWrap/>
            <w:hideMark/>
          </w:tcPr>
          <w:p w:rsidR="00992593" w:rsidRPr="00992593" w:rsidRDefault="00992593" w:rsidP="006133AA">
            <w:pPr>
              <w:jc w:val="right"/>
            </w:pPr>
            <w:r w:rsidRPr="00992593">
              <w:t>42.3</w:t>
            </w:r>
          </w:p>
        </w:tc>
        <w:tc>
          <w:tcPr>
            <w:tcW w:w="2865" w:type="dxa"/>
            <w:noWrap/>
            <w:hideMark/>
          </w:tcPr>
          <w:p w:rsidR="00992593" w:rsidRPr="00992593" w:rsidRDefault="00992593" w:rsidP="006133AA">
            <w:pPr>
              <w:jc w:val="right"/>
            </w:pPr>
            <w:r w:rsidRPr="00992593">
              <w:t>27.8</w:t>
            </w:r>
          </w:p>
        </w:tc>
        <w:tc>
          <w:tcPr>
            <w:tcW w:w="1533" w:type="dxa"/>
            <w:noWrap/>
            <w:hideMark/>
          </w:tcPr>
          <w:p w:rsidR="00992593" w:rsidRPr="00992593" w:rsidRDefault="00992593" w:rsidP="006133AA">
            <w:pPr>
              <w:jc w:val="right"/>
            </w:pPr>
            <w:r w:rsidRPr="00992593">
              <w:t>-14.5</w:t>
            </w:r>
          </w:p>
        </w:tc>
      </w:tr>
      <w:tr w:rsidR="00992593" w:rsidRPr="00992593" w:rsidTr="006133AA">
        <w:trPr>
          <w:trHeight w:val="300"/>
        </w:trPr>
        <w:tc>
          <w:tcPr>
            <w:tcW w:w="1857" w:type="dxa"/>
            <w:noWrap/>
            <w:hideMark/>
          </w:tcPr>
          <w:p w:rsidR="00992593" w:rsidRPr="00992593" w:rsidRDefault="00992593" w:rsidP="00992593">
            <w:pPr>
              <w:jc w:val="both"/>
            </w:pPr>
            <w:r w:rsidRPr="00992593">
              <w:t>South</w:t>
            </w:r>
          </w:p>
        </w:tc>
        <w:tc>
          <w:tcPr>
            <w:tcW w:w="2761" w:type="dxa"/>
            <w:noWrap/>
            <w:hideMark/>
          </w:tcPr>
          <w:p w:rsidR="00992593" w:rsidRPr="00992593" w:rsidRDefault="00992593" w:rsidP="006133AA">
            <w:pPr>
              <w:jc w:val="right"/>
            </w:pPr>
            <w:r w:rsidRPr="00992593">
              <w:t>35.1</w:t>
            </w:r>
          </w:p>
        </w:tc>
        <w:tc>
          <w:tcPr>
            <w:tcW w:w="2865" w:type="dxa"/>
            <w:noWrap/>
            <w:hideMark/>
          </w:tcPr>
          <w:p w:rsidR="00992593" w:rsidRPr="00992593" w:rsidRDefault="00992593" w:rsidP="006133AA">
            <w:pPr>
              <w:jc w:val="right"/>
            </w:pPr>
            <w:r w:rsidRPr="00992593">
              <w:t>28.7</w:t>
            </w:r>
          </w:p>
        </w:tc>
        <w:tc>
          <w:tcPr>
            <w:tcW w:w="1533" w:type="dxa"/>
            <w:noWrap/>
            <w:hideMark/>
          </w:tcPr>
          <w:p w:rsidR="00992593" w:rsidRPr="00992593" w:rsidRDefault="00992593" w:rsidP="006133AA">
            <w:pPr>
              <w:jc w:val="right"/>
            </w:pPr>
            <w:r w:rsidRPr="00992593">
              <w:t>-6.3</w:t>
            </w:r>
          </w:p>
        </w:tc>
      </w:tr>
      <w:tr w:rsidR="00992593" w:rsidRPr="00992593" w:rsidTr="006133AA">
        <w:trPr>
          <w:trHeight w:val="300"/>
        </w:trPr>
        <w:tc>
          <w:tcPr>
            <w:tcW w:w="1857" w:type="dxa"/>
            <w:noWrap/>
            <w:hideMark/>
          </w:tcPr>
          <w:p w:rsidR="00992593" w:rsidRPr="00992593" w:rsidRDefault="00992593" w:rsidP="00992593">
            <w:pPr>
              <w:jc w:val="both"/>
            </w:pPr>
            <w:r w:rsidRPr="00992593">
              <w:t>Municipality Chisinau</w:t>
            </w:r>
          </w:p>
        </w:tc>
        <w:tc>
          <w:tcPr>
            <w:tcW w:w="2761" w:type="dxa"/>
            <w:noWrap/>
            <w:hideMark/>
          </w:tcPr>
          <w:p w:rsidR="00992593" w:rsidRPr="00992593" w:rsidRDefault="00992593" w:rsidP="006133AA">
            <w:pPr>
              <w:jc w:val="right"/>
            </w:pPr>
            <w:r w:rsidRPr="00992593">
              <w:t>46.3</w:t>
            </w:r>
          </w:p>
        </w:tc>
        <w:tc>
          <w:tcPr>
            <w:tcW w:w="2865" w:type="dxa"/>
            <w:noWrap/>
            <w:hideMark/>
          </w:tcPr>
          <w:p w:rsidR="00992593" w:rsidRPr="00992593" w:rsidRDefault="00992593" w:rsidP="006133AA">
            <w:pPr>
              <w:jc w:val="right"/>
            </w:pPr>
            <w:r w:rsidRPr="00992593">
              <w:t>45.7</w:t>
            </w:r>
          </w:p>
        </w:tc>
        <w:tc>
          <w:tcPr>
            <w:tcW w:w="1533" w:type="dxa"/>
            <w:noWrap/>
            <w:hideMark/>
          </w:tcPr>
          <w:p w:rsidR="00992593" w:rsidRPr="00992593" w:rsidRDefault="00992593" w:rsidP="006133AA">
            <w:pPr>
              <w:jc w:val="right"/>
            </w:pPr>
            <w:r w:rsidRPr="00992593">
              <w:t>-0.6</w:t>
            </w:r>
          </w:p>
        </w:tc>
      </w:tr>
    </w:tbl>
    <w:p w:rsidR="00E17F1F" w:rsidRDefault="00E17F1F" w:rsidP="001D71EF">
      <w:pPr>
        <w:jc w:val="both"/>
      </w:pPr>
    </w:p>
    <w:p w:rsidR="006133AA" w:rsidRDefault="00F87967" w:rsidP="006133AA">
      <w:pPr>
        <w:jc w:val="both"/>
        <w:rPr>
          <w:b/>
          <w:i/>
        </w:rPr>
      </w:pPr>
      <w:r>
        <w:rPr>
          <w:b/>
          <w:i/>
        </w:rPr>
        <w:t>2.1.2</w:t>
      </w:r>
      <w:r>
        <w:rPr>
          <w:b/>
          <w:i/>
        </w:rPr>
        <w:tab/>
      </w:r>
      <w:r w:rsidR="006133AA">
        <w:rPr>
          <w:b/>
          <w:i/>
        </w:rPr>
        <w:t>Impact of the new standards on unemployment estimates</w:t>
      </w:r>
    </w:p>
    <w:p w:rsidR="00992593" w:rsidRDefault="007C5ACD" w:rsidP="001D71EF">
      <w:pPr>
        <w:jc w:val="both"/>
      </w:pPr>
      <w:r>
        <w:t>When the new standards are introduced the expectation would be that estimates of unemployment and the unemployment rate would be higher. The reason for this is that some of the people who are no longer included in the employment estimate are almost certain to be seeking and available for work. Highlighting this group was one of the motivation for the changes in the standards, to show situations where people are doing some work to produce food for family consumption but also looking and available for paid work. Under the old standards this situation was not reflected in unemployment statistics.</w:t>
      </w:r>
    </w:p>
    <w:p w:rsidR="007C5ACD" w:rsidRDefault="007C5ACD" w:rsidP="001D71EF">
      <w:pPr>
        <w:jc w:val="both"/>
      </w:pPr>
      <w:r>
        <w:t>In addition, when considering the unemployment rate we also expect it to be higher because unemployment rate is calculated by dividing the number of people unemployed by the labour force (multiplied by 100). As well as having a higher number of people employed, the labour force (employed + unemployed) is smaller under the new standards because of the lower level of employment. This means the numerator (unemployment) is higher and the denominator (labour force) is lower, causing the unemployment rate to be higher.</w:t>
      </w:r>
      <w:r w:rsidR="00D85CD1">
        <w:t xml:space="preserve"> </w:t>
      </w:r>
      <w:r>
        <w:t>The results in Moldova follow these expectations as shown in figures 4 and 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6"/>
        <w:gridCol w:w="4266"/>
      </w:tblGrid>
      <w:tr w:rsidR="00DC78C4" w:rsidTr="00DC78C4">
        <w:tc>
          <w:tcPr>
            <w:tcW w:w="5196" w:type="dxa"/>
          </w:tcPr>
          <w:p w:rsidR="00DC78C4" w:rsidRDefault="00DC78C4" w:rsidP="001D71EF">
            <w:pPr>
              <w:jc w:val="both"/>
            </w:pPr>
            <w:r>
              <w:rPr>
                <w:noProof/>
                <w:lang w:val="ru-RU" w:eastAsia="ru-RU"/>
              </w:rPr>
              <w:lastRenderedPageBreak/>
              <w:drawing>
                <wp:inline distT="0" distB="0" distL="0" distR="0">
                  <wp:extent cx="2895600" cy="2150669"/>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830" w:type="dxa"/>
          </w:tcPr>
          <w:p w:rsidR="00DC78C4" w:rsidRDefault="00DC78C4" w:rsidP="001D71EF">
            <w:pPr>
              <w:jc w:val="both"/>
            </w:pPr>
            <w:r>
              <w:rPr>
                <w:noProof/>
                <w:lang w:val="ru-RU" w:eastAsia="ru-RU"/>
              </w:rPr>
              <w:drawing>
                <wp:inline distT="0" distB="0" distL="0" distR="0">
                  <wp:extent cx="2571750" cy="2150110"/>
                  <wp:effectExtent l="0" t="0" r="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7C5ACD" w:rsidRDefault="00DC78C4" w:rsidP="001D71EF">
      <w:pPr>
        <w:jc w:val="both"/>
      </w:pPr>
      <w:r>
        <w:t>The number of persons unemployed under the new standards was 44,000 on average in 2018, 5,600 (15%) higher than the number under the old standards.  Meanwhile, the unemployment rate recorded (figure 5) was 1.1 percentage points higher (4.1% versus 3.0%).</w:t>
      </w:r>
    </w:p>
    <w:p w:rsidR="007C5ACD" w:rsidRDefault="007C5ACD" w:rsidP="001D71EF">
      <w:pPr>
        <w:jc w:val="both"/>
      </w:pPr>
      <w:r>
        <w:t xml:space="preserve">Table 5 shows </w:t>
      </w:r>
      <w:r w:rsidR="00A871A8">
        <w:t>how the unemployment rate was impacted across different population groups. For example the impact was relatively greater on the male unemployment rate, than the female unemployment rate. As with the employment estimates the impact on the unemployment rate was very low in urban areas and in the Chisinau Municipality.</w:t>
      </w:r>
    </w:p>
    <w:p w:rsidR="00A871A8" w:rsidRPr="007B00BF" w:rsidRDefault="00A871A8" w:rsidP="00A871A8">
      <w:pPr>
        <w:jc w:val="both"/>
        <w:rPr>
          <w:b/>
        </w:rPr>
      </w:pPr>
      <w:r>
        <w:rPr>
          <w:b/>
        </w:rPr>
        <w:t xml:space="preserve">Table 4: Impact of introduction of the new standards on </w:t>
      </w:r>
      <w:r w:rsidR="006B3DDA">
        <w:rPr>
          <w:b/>
        </w:rPr>
        <w:t>the unemployment rate</w:t>
      </w:r>
      <w:r>
        <w:rPr>
          <w:b/>
        </w:rPr>
        <w:t xml:space="preserve"> by population subgroup, 2018</w:t>
      </w:r>
    </w:p>
    <w:tbl>
      <w:tblPr>
        <w:tblW w:w="5000" w:type="pct"/>
        <w:tblLook w:val="04A0"/>
      </w:tblPr>
      <w:tblGrid>
        <w:gridCol w:w="1927"/>
        <w:gridCol w:w="2884"/>
        <w:gridCol w:w="2986"/>
        <w:gridCol w:w="1445"/>
      </w:tblGrid>
      <w:tr w:rsidR="00A871A8" w:rsidRPr="00A871A8" w:rsidTr="00A871A8">
        <w:trPr>
          <w:trHeight w:val="300"/>
        </w:trPr>
        <w:tc>
          <w:tcPr>
            <w:tcW w:w="104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3174" w:type="pct"/>
            <w:gridSpan w:val="2"/>
            <w:tcBorders>
              <w:top w:val="single" w:sz="4" w:space="0" w:color="auto"/>
              <w:left w:val="nil"/>
              <w:bottom w:val="single" w:sz="4" w:space="0" w:color="auto"/>
              <w:right w:val="single" w:sz="4" w:space="0" w:color="000000"/>
            </w:tcBorders>
            <w:shd w:val="clear" w:color="000000" w:fill="D9D9D9"/>
            <w:noWrap/>
            <w:vAlign w:val="bottom"/>
            <w:hideMark/>
          </w:tcPr>
          <w:p w:rsidR="00A871A8" w:rsidRPr="00A871A8" w:rsidRDefault="00A871A8" w:rsidP="00A871A8">
            <w:pPr>
              <w:spacing w:after="0" w:line="240" w:lineRule="auto"/>
              <w:jc w:val="center"/>
              <w:rPr>
                <w:rFonts w:ascii="Calibri" w:eastAsia="Times New Roman" w:hAnsi="Calibri" w:cs="Calibri"/>
                <w:color w:val="000000"/>
                <w:lang w:eastAsia="en-GB"/>
              </w:rPr>
            </w:pPr>
            <w:r w:rsidRPr="00A871A8">
              <w:rPr>
                <w:rFonts w:ascii="Calibri" w:eastAsia="Times New Roman" w:hAnsi="Calibri" w:cs="Calibri"/>
                <w:color w:val="000000"/>
                <w:lang w:eastAsia="en-GB"/>
              </w:rPr>
              <w:t>2018 average</w:t>
            </w:r>
          </w:p>
        </w:tc>
        <w:tc>
          <w:tcPr>
            <w:tcW w:w="783" w:type="pct"/>
            <w:tcBorders>
              <w:top w:val="single" w:sz="4" w:space="0" w:color="auto"/>
              <w:left w:val="nil"/>
              <w:bottom w:val="single" w:sz="4" w:space="0" w:color="auto"/>
              <w:right w:val="single" w:sz="4" w:space="0" w:color="auto"/>
            </w:tcBorders>
            <w:shd w:val="clear" w:color="000000" w:fill="D9D9D9"/>
            <w:noWrap/>
            <w:vAlign w:val="bottom"/>
            <w:hideMark/>
          </w:tcPr>
          <w:p w:rsidR="00A871A8" w:rsidRPr="00A871A8" w:rsidRDefault="00A871A8" w:rsidP="00A871A8">
            <w:pPr>
              <w:spacing w:after="0" w:line="240" w:lineRule="auto"/>
              <w:jc w:val="center"/>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000000" w:fill="D9D9D9"/>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1559" w:type="pct"/>
            <w:tcBorders>
              <w:top w:val="nil"/>
              <w:left w:val="nil"/>
              <w:bottom w:val="single" w:sz="4" w:space="0" w:color="auto"/>
              <w:right w:val="single" w:sz="4" w:space="0" w:color="auto"/>
            </w:tcBorders>
            <w:shd w:val="clear" w:color="auto" w:fill="auto"/>
            <w:noWrap/>
            <w:vAlign w:val="center"/>
            <w:hideMark/>
          </w:tcPr>
          <w:p w:rsidR="00A871A8" w:rsidRPr="00A871A8" w:rsidRDefault="00A871A8" w:rsidP="00A871A8">
            <w:pPr>
              <w:spacing w:after="0" w:line="240" w:lineRule="auto"/>
              <w:rPr>
                <w:rFonts w:ascii="Calibri" w:eastAsia="Times New Roman" w:hAnsi="Calibri" w:cs="Calibri"/>
                <w:b/>
                <w:bCs/>
                <w:color w:val="000000"/>
                <w:lang w:eastAsia="en-GB"/>
              </w:rPr>
            </w:pPr>
            <w:r w:rsidRPr="00A871A8">
              <w:rPr>
                <w:rFonts w:ascii="Calibri" w:eastAsia="Times New Roman" w:hAnsi="Calibri" w:cs="Calibri"/>
                <w:b/>
                <w:bCs/>
                <w:color w:val="000000"/>
                <w:lang w:eastAsia="en-GB"/>
              </w:rPr>
              <w:t>Old standards, stable population</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b/>
                <w:bCs/>
                <w:color w:val="000000"/>
                <w:lang w:eastAsia="en-GB"/>
              </w:rPr>
            </w:pPr>
            <w:r w:rsidRPr="00A871A8">
              <w:rPr>
                <w:rFonts w:ascii="Calibri" w:eastAsia="Times New Roman" w:hAnsi="Calibri" w:cs="Calibri"/>
                <w:b/>
                <w:bCs/>
                <w:color w:val="000000"/>
                <w:lang w:eastAsia="en-GB"/>
              </w:rPr>
              <w:t>New Standards, stable population</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b/>
                <w:bCs/>
                <w:color w:val="000000"/>
                <w:lang w:eastAsia="en-GB"/>
              </w:rPr>
            </w:pPr>
            <w:r w:rsidRPr="00A871A8">
              <w:rPr>
                <w:rFonts w:ascii="Calibri" w:eastAsia="Times New Roman" w:hAnsi="Calibri" w:cs="Calibri"/>
                <w:b/>
                <w:bCs/>
                <w:color w:val="000000"/>
                <w:lang w:eastAsia="en-GB"/>
              </w:rPr>
              <w:t>Difference (pp)</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3174"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A871A8" w:rsidRPr="00A871A8" w:rsidRDefault="006B3DDA" w:rsidP="00A871A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Unemployment rate</w:t>
            </w:r>
            <w:r w:rsidR="00A871A8" w:rsidRPr="00A871A8">
              <w:rPr>
                <w:rFonts w:ascii="Calibri" w:eastAsia="Times New Roman" w:hAnsi="Calibri" w:cs="Calibri"/>
                <w:color w:val="000000"/>
                <w:sz w:val="20"/>
                <w:szCs w:val="20"/>
                <w:lang w:eastAsia="en-GB"/>
              </w:rPr>
              <w:t xml:space="preserve"> (%)</w:t>
            </w:r>
          </w:p>
        </w:tc>
        <w:tc>
          <w:tcPr>
            <w:tcW w:w="783" w:type="pct"/>
            <w:tcBorders>
              <w:top w:val="nil"/>
              <w:left w:val="nil"/>
              <w:bottom w:val="single" w:sz="4" w:space="0" w:color="auto"/>
              <w:right w:val="single" w:sz="4" w:space="0" w:color="auto"/>
            </w:tcBorders>
            <w:shd w:val="clear" w:color="000000" w:fill="F2F2F2"/>
            <w:noWrap/>
            <w:vAlign w:val="bottom"/>
            <w:hideMark/>
          </w:tcPr>
          <w:p w:rsidR="00A871A8" w:rsidRPr="00A871A8" w:rsidRDefault="00A871A8" w:rsidP="00A871A8">
            <w:pPr>
              <w:spacing w:after="0" w:line="240" w:lineRule="auto"/>
              <w:jc w:val="center"/>
              <w:rPr>
                <w:rFonts w:ascii="Calibri" w:eastAsia="Times New Roman" w:hAnsi="Calibri" w:cs="Calibri"/>
                <w:color w:val="000000"/>
                <w:sz w:val="20"/>
                <w:szCs w:val="20"/>
                <w:lang w:eastAsia="en-GB"/>
              </w:rPr>
            </w:pPr>
            <w:r w:rsidRPr="00A871A8">
              <w:rPr>
                <w:rFonts w:ascii="Calibri" w:eastAsia="Times New Roman" w:hAnsi="Calibri" w:cs="Calibri"/>
                <w:color w:val="000000"/>
                <w:sz w:val="20"/>
                <w:szCs w:val="20"/>
                <w:lang w:eastAsia="en-GB"/>
              </w:rPr>
              <w:t>PP</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b/>
                <w:bCs/>
                <w:i/>
                <w:iCs/>
                <w:color w:val="000000"/>
                <w:lang w:eastAsia="en-GB"/>
              </w:rPr>
            </w:pPr>
            <w:r w:rsidRPr="00A871A8">
              <w:rPr>
                <w:rFonts w:ascii="Calibri" w:eastAsia="Times New Roman" w:hAnsi="Calibri" w:cs="Calibri"/>
                <w:b/>
                <w:bCs/>
                <w:i/>
                <w:iCs/>
                <w:color w:val="000000"/>
                <w:lang w:eastAsia="en-GB"/>
              </w:rPr>
              <w:t>Total</w:t>
            </w:r>
          </w:p>
        </w:tc>
        <w:tc>
          <w:tcPr>
            <w:tcW w:w="1559" w:type="pct"/>
            <w:tcBorders>
              <w:top w:val="nil"/>
              <w:left w:val="nil"/>
              <w:bottom w:val="single" w:sz="4" w:space="0" w:color="auto"/>
              <w:right w:val="single" w:sz="4" w:space="0" w:color="auto"/>
            </w:tcBorders>
            <w:shd w:val="clear" w:color="auto" w:fill="auto"/>
            <w:noWrap/>
            <w:vAlign w:val="center"/>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3.0</w:t>
            </w:r>
          </w:p>
        </w:tc>
        <w:tc>
          <w:tcPr>
            <w:tcW w:w="1615" w:type="pct"/>
            <w:tcBorders>
              <w:top w:val="nil"/>
              <w:left w:val="nil"/>
              <w:bottom w:val="single" w:sz="4" w:space="0" w:color="auto"/>
              <w:right w:val="single" w:sz="4" w:space="0" w:color="auto"/>
            </w:tcBorders>
            <w:shd w:val="clear" w:color="auto" w:fill="auto"/>
            <w:noWrap/>
            <w:vAlign w:val="center"/>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4.1</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1.1</w:t>
            </w:r>
          </w:p>
        </w:tc>
      </w:tr>
      <w:tr w:rsidR="00A871A8" w:rsidRPr="00A871A8" w:rsidTr="00A871A8">
        <w:trPr>
          <w:trHeight w:val="300"/>
        </w:trPr>
        <w:tc>
          <w:tcPr>
            <w:tcW w:w="1043" w:type="pct"/>
            <w:tcBorders>
              <w:top w:val="nil"/>
              <w:left w:val="single" w:sz="4" w:space="0" w:color="auto"/>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b/>
                <w:bCs/>
                <w:i/>
                <w:iCs/>
                <w:color w:val="000000"/>
                <w:lang w:eastAsia="en-GB"/>
              </w:rPr>
            </w:pPr>
            <w:r w:rsidRPr="00A871A8">
              <w:rPr>
                <w:rFonts w:ascii="Calibri" w:eastAsia="Times New Roman" w:hAnsi="Calibri" w:cs="Calibri"/>
                <w:b/>
                <w:bCs/>
                <w:i/>
                <w:iCs/>
                <w:color w:val="000000"/>
                <w:lang w:eastAsia="en-GB"/>
              </w:rPr>
              <w:t>Sex</w:t>
            </w:r>
          </w:p>
        </w:tc>
        <w:tc>
          <w:tcPr>
            <w:tcW w:w="1559"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1615"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783" w:type="pct"/>
            <w:tcBorders>
              <w:top w:val="nil"/>
              <w:left w:val="nil"/>
              <w:bottom w:val="single" w:sz="4" w:space="0" w:color="auto"/>
              <w:right w:val="single" w:sz="4" w:space="0" w:color="auto"/>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Males</w:t>
            </w:r>
          </w:p>
        </w:tc>
        <w:tc>
          <w:tcPr>
            <w:tcW w:w="1559"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3.5</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5.1</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1.5</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Females</w:t>
            </w:r>
          </w:p>
        </w:tc>
        <w:tc>
          <w:tcPr>
            <w:tcW w:w="1559"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2.5</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3.2</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0.7</w:t>
            </w:r>
          </w:p>
        </w:tc>
      </w:tr>
      <w:tr w:rsidR="00A871A8" w:rsidRPr="00A871A8" w:rsidTr="00A871A8">
        <w:trPr>
          <w:trHeight w:val="300"/>
        </w:trPr>
        <w:tc>
          <w:tcPr>
            <w:tcW w:w="1043" w:type="pct"/>
            <w:tcBorders>
              <w:top w:val="nil"/>
              <w:left w:val="single" w:sz="4" w:space="0" w:color="auto"/>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b/>
                <w:bCs/>
                <w:i/>
                <w:iCs/>
                <w:color w:val="000000"/>
                <w:lang w:eastAsia="en-GB"/>
              </w:rPr>
            </w:pPr>
            <w:r w:rsidRPr="00A871A8">
              <w:rPr>
                <w:rFonts w:ascii="Calibri" w:eastAsia="Times New Roman" w:hAnsi="Calibri" w:cs="Calibri"/>
                <w:b/>
                <w:bCs/>
                <w:i/>
                <w:iCs/>
                <w:color w:val="000000"/>
                <w:lang w:eastAsia="en-GB"/>
              </w:rPr>
              <w:t>Age</w:t>
            </w:r>
          </w:p>
        </w:tc>
        <w:tc>
          <w:tcPr>
            <w:tcW w:w="1559"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1615"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783" w:type="pct"/>
            <w:tcBorders>
              <w:top w:val="nil"/>
              <w:left w:val="nil"/>
              <w:bottom w:val="single" w:sz="4" w:space="0" w:color="auto"/>
              <w:right w:val="single" w:sz="4" w:space="0" w:color="auto"/>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15-24 years</w:t>
            </w:r>
          </w:p>
        </w:tc>
        <w:tc>
          <w:tcPr>
            <w:tcW w:w="1559"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7.4</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9.9</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2.4</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25-54 years</w:t>
            </w:r>
          </w:p>
        </w:tc>
        <w:tc>
          <w:tcPr>
            <w:tcW w:w="1559"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3.0</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4.0</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0.9</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55-64 years</w:t>
            </w:r>
          </w:p>
        </w:tc>
        <w:tc>
          <w:tcPr>
            <w:tcW w:w="1559"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1.9</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2.7</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0.8</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65+</w:t>
            </w:r>
          </w:p>
        </w:tc>
        <w:tc>
          <w:tcPr>
            <w:tcW w:w="1559"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w:t>
            </w:r>
          </w:p>
        </w:tc>
        <w:tc>
          <w:tcPr>
            <w:tcW w:w="1615"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w:t>
            </w:r>
          </w:p>
        </w:tc>
        <w:tc>
          <w:tcPr>
            <w:tcW w:w="783" w:type="pct"/>
            <w:tcBorders>
              <w:top w:val="nil"/>
              <w:left w:val="nil"/>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w:t>
            </w:r>
          </w:p>
        </w:tc>
      </w:tr>
      <w:tr w:rsidR="00A871A8" w:rsidRPr="00A871A8" w:rsidTr="00A871A8">
        <w:trPr>
          <w:trHeight w:val="300"/>
        </w:trPr>
        <w:tc>
          <w:tcPr>
            <w:tcW w:w="1043" w:type="pct"/>
            <w:tcBorders>
              <w:top w:val="nil"/>
              <w:left w:val="single" w:sz="4" w:space="0" w:color="auto"/>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b/>
                <w:bCs/>
                <w:i/>
                <w:iCs/>
                <w:color w:val="000000"/>
                <w:lang w:eastAsia="en-GB"/>
              </w:rPr>
            </w:pPr>
            <w:r w:rsidRPr="00A871A8">
              <w:rPr>
                <w:rFonts w:ascii="Calibri" w:eastAsia="Times New Roman" w:hAnsi="Calibri" w:cs="Calibri"/>
                <w:b/>
                <w:bCs/>
                <w:i/>
                <w:iCs/>
                <w:color w:val="000000"/>
                <w:lang w:eastAsia="en-GB"/>
              </w:rPr>
              <w:t>Urban/Rural</w:t>
            </w:r>
          </w:p>
        </w:tc>
        <w:tc>
          <w:tcPr>
            <w:tcW w:w="1559"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1615"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783" w:type="pct"/>
            <w:tcBorders>
              <w:top w:val="nil"/>
              <w:left w:val="nil"/>
              <w:bottom w:val="single" w:sz="4" w:space="0" w:color="auto"/>
              <w:right w:val="single" w:sz="4" w:space="0" w:color="auto"/>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Urban</w:t>
            </w:r>
          </w:p>
        </w:tc>
        <w:tc>
          <w:tcPr>
            <w:tcW w:w="1559"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4.5</w:t>
            </w:r>
          </w:p>
        </w:tc>
        <w:tc>
          <w:tcPr>
            <w:tcW w:w="1615"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4.6</w:t>
            </w:r>
          </w:p>
        </w:tc>
        <w:tc>
          <w:tcPr>
            <w:tcW w:w="783"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0.1</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Rural</w:t>
            </w:r>
          </w:p>
        </w:tc>
        <w:tc>
          <w:tcPr>
            <w:tcW w:w="1559"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1.9</w:t>
            </w:r>
          </w:p>
        </w:tc>
        <w:tc>
          <w:tcPr>
            <w:tcW w:w="1615"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3.6</w:t>
            </w:r>
          </w:p>
        </w:tc>
        <w:tc>
          <w:tcPr>
            <w:tcW w:w="783"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1.7</w:t>
            </w:r>
          </w:p>
        </w:tc>
      </w:tr>
      <w:tr w:rsidR="00A871A8" w:rsidRPr="00A871A8" w:rsidTr="00A871A8">
        <w:trPr>
          <w:trHeight w:val="300"/>
        </w:trPr>
        <w:tc>
          <w:tcPr>
            <w:tcW w:w="1043" w:type="pct"/>
            <w:tcBorders>
              <w:top w:val="nil"/>
              <w:left w:val="single" w:sz="4" w:space="0" w:color="auto"/>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b/>
                <w:bCs/>
                <w:i/>
                <w:iCs/>
                <w:color w:val="000000"/>
                <w:lang w:eastAsia="en-GB"/>
              </w:rPr>
            </w:pPr>
            <w:r w:rsidRPr="00A871A8">
              <w:rPr>
                <w:rFonts w:ascii="Calibri" w:eastAsia="Times New Roman" w:hAnsi="Calibri" w:cs="Calibri"/>
                <w:b/>
                <w:bCs/>
                <w:i/>
                <w:iCs/>
                <w:color w:val="000000"/>
                <w:lang w:eastAsia="en-GB"/>
              </w:rPr>
              <w:t>Zone</w:t>
            </w:r>
          </w:p>
        </w:tc>
        <w:tc>
          <w:tcPr>
            <w:tcW w:w="1559"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1615" w:type="pct"/>
            <w:tcBorders>
              <w:top w:val="nil"/>
              <w:left w:val="nil"/>
              <w:bottom w:val="single" w:sz="4" w:space="0" w:color="auto"/>
              <w:right w:val="nil"/>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c>
          <w:tcPr>
            <w:tcW w:w="783" w:type="pct"/>
            <w:tcBorders>
              <w:top w:val="nil"/>
              <w:left w:val="nil"/>
              <w:bottom w:val="single" w:sz="4" w:space="0" w:color="auto"/>
              <w:right w:val="single" w:sz="4" w:space="0" w:color="auto"/>
            </w:tcBorders>
            <w:shd w:val="clear" w:color="000000" w:fill="F2F2F2"/>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 </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North</w:t>
            </w:r>
          </w:p>
        </w:tc>
        <w:tc>
          <w:tcPr>
            <w:tcW w:w="1559"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3.3</w:t>
            </w:r>
          </w:p>
        </w:tc>
        <w:tc>
          <w:tcPr>
            <w:tcW w:w="1615"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4.4</w:t>
            </w:r>
          </w:p>
        </w:tc>
        <w:tc>
          <w:tcPr>
            <w:tcW w:w="783"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1.1</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Centre</w:t>
            </w:r>
          </w:p>
        </w:tc>
        <w:tc>
          <w:tcPr>
            <w:tcW w:w="1559"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1.6</w:t>
            </w:r>
          </w:p>
        </w:tc>
        <w:tc>
          <w:tcPr>
            <w:tcW w:w="1615"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3.5</w:t>
            </w:r>
          </w:p>
        </w:tc>
        <w:tc>
          <w:tcPr>
            <w:tcW w:w="783"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1.9</w:t>
            </w:r>
          </w:p>
        </w:tc>
      </w:tr>
      <w:tr w:rsidR="00A871A8" w:rsidRPr="00A871A8" w:rsidTr="00A871A8">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South</w:t>
            </w:r>
          </w:p>
        </w:tc>
        <w:tc>
          <w:tcPr>
            <w:tcW w:w="1559"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2.2</w:t>
            </w:r>
          </w:p>
        </w:tc>
        <w:tc>
          <w:tcPr>
            <w:tcW w:w="1615"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3.2</w:t>
            </w:r>
          </w:p>
        </w:tc>
        <w:tc>
          <w:tcPr>
            <w:tcW w:w="783"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1.0</w:t>
            </w:r>
          </w:p>
        </w:tc>
      </w:tr>
      <w:tr w:rsidR="00A871A8" w:rsidRPr="00A871A8" w:rsidTr="003264D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A871A8" w:rsidRPr="00A871A8" w:rsidRDefault="00A871A8" w:rsidP="00A871A8">
            <w:pPr>
              <w:spacing w:after="0" w:line="240" w:lineRule="auto"/>
              <w:rPr>
                <w:rFonts w:ascii="Calibri" w:eastAsia="Times New Roman" w:hAnsi="Calibri" w:cs="Calibri"/>
                <w:color w:val="000000"/>
                <w:lang w:eastAsia="en-GB"/>
              </w:rPr>
            </w:pPr>
            <w:r w:rsidRPr="00A871A8">
              <w:rPr>
                <w:rFonts w:ascii="Calibri" w:eastAsia="Times New Roman" w:hAnsi="Calibri" w:cs="Calibri"/>
                <w:color w:val="000000"/>
                <w:lang w:eastAsia="en-GB"/>
              </w:rPr>
              <w:t>Municipality Chisinau</w:t>
            </w:r>
          </w:p>
        </w:tc>
        <w:tc>
          <w:tcPr>
            <w:tcW w:w="1559"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4.8</w:t>
            </w:r>
          </w:p>
        </w:tc>
        <w:tc>
          <w:tcPr>
            <w:tcW w:w="1615"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4.9</w:t>
            </w:r>
          </w:p>
        </w:tc>
        <w:tc>
          <w:tcPr>
            <w:tcW w:w="783" w:type="pct"/>
            <w:tcBorders>
              <w:top w:val="nil"/>
              <w:left w:val="nil"/>
              <w:bottom w:val="single" w:sz="4" w:space="0" w:color="auto"/>
              <w:right w:val="single" w:sz="4" w:space="0" w:color="auto"/>
            </w:tcBorders>
            <w:shd w:val="clear" w:color="000000" w:fill="FFFFFF"/>
            <w:noWrap/>
            <w:vAlign w:val="bottom"/>
            <w:hideMark/>
          </w:tcPr>
          <w:p w:rsidR="00A871A8" w:rsidRPr="00A871A8" w:rsidRDefault="00A871A8" w:rsidP="00A871A8">
            <w:pPr>
              <w:spacing w:after="0" w:line="240" w:lineRule="auto"/>
              <w:jc w:val="right"/>
              <w:rPr>
                <w:rFonts w:ascii="Calibri" w:eastAsia="Times New Roman" w:hAnsi="Calibri" w:cs="Calibri"/>
                <w:color w:val="000000"/>
                <w:lang w:eastAsia="en-GB"/>
              </w:rPr>
            </w:pPr>
            <w:r w:rsidRPr="00A871A8">
              <w:rPr>
                <w:rFonts w:ascii="Calibri" w:eastAsia="Times New Roman" w:hAnsi="Calibri" w:cs="Calibri"/>
                <w:color w:val="000000"/>
                <w:lang w:eastAsia="en-GB"/>
              </w:rPr>
              <w:t>0.1</w:t>
            </w:r>
          </w:p>
        </w:tc>
      </w:tr>
      <w:tr w:rsidR="003264D2" w:rsidRPr="00A871A8" w:rsidTr="003264D2">
        <w:trPr>
          <w:trHeight w:val="300"/>
        </w:trPr>
        <w:tc>
          <w:tcPr>
            <w:tcW w:w="2602" w:type="pct"/>
            <w:gridSpan w:val="2"/>
            <w:tcBorders>
              <w:top w:val="single" w:sz="4" w:space="0" w:color="auto"/>
            </w:tcBorders>
            <w:shd w:val="clear" w:color="auto" w:fill="auto"/>
            <w:noWrap/>
            <w:vAlign w:val="bottom"/>
          </w:tcPr>
          <w:p w:rsidR="003264D2" w:rsidRDefault="003264D2" w:rsidP="003264D2">
            <w:pPr>
              <w:spacing w:after="0" w:line="240" w:lineRule="auto"/>
              <w:rPr>
                <w:rFonts w:ascii="Calibri" w:eastAsia="Times New Roman" w:hAnsi="Calibri" w:cs="Calibri"/>
                <w:i/>
                <w:color w:val="000000"/>
                <w:sz w:val="18"/>
                <w:lang w:eastAsia="en-GB"/>
              </w:rPr>
            </w:pPr>
            <w:r w:rsidRPr="003264D2">
              <w:rPr>
                <w:rFonts w:ascii="Calibri" w:eastAsia="Times New Roman" w:hAnsi="Calibri" w:cs="Calibri"/>
                <w:i/>
                <w:color w:val="000000"/>
                <w:sz w:val="18"/>
                <w:lang w:eastAsia="en-GB"/>
              </w:rPr>
              <w:t>* Too few observations to provide an estimate</w:t>
            </w:r>
          </w:p>
          <w:p w:rsidR="00D85CD1" w:rsidRPr="00A871A8" w:rsidRDefault="00D85CD1" w:rsidP="003264D2">
            <w:pPr>
              <w:spacing w:after="0" w:line="240" w:lineRule="auto"/>
              <w:rPr>
                <w:rFonts w:ascii="Calibri" w:eastAsia="Times New Roman" w:hAnsi="Calibri" w:cs="Calibri"/>
                <w:color w:val="000000"/>
                <w:lang w:eastAsia="en-GB"/>
              </w:rPr>
            </w:pPr>
          </w:p>
        </w:tc>
        <w:tc>
          <w:tcPr>
            <w:tcW w:w="1615" w:type="pct"/>
            <w:tcBorders>
              <w:top w:val="single" w:sz="4" w:space="0" w:color="auto"/>
            </w:tcBorders>
            <w:shd w:val="clear" w:color="000000" w:fill="FFFFFF"/>
            <w:noWrap/>
            <w:vAlign w:val="bottom"/>
          </w:tcPr>
          <w:p w:rsidR="003264D2" w:rsidRPr="00A871A8" w:rsidRDefault="003264D2" w:rsidP="00A871A8">
            <w:pPr>
              <w:spacing w:after="0" w:line="240" w:lineRule="auto"/>
              <w:jc w:val="right"/>
              <w:rPr>
                <w:rFonts w:ascii="Calibri" w:eastAsia="Times New Roman" w:hAnsi="Calibri" w:cs="Calibri"/>
                <w:color w:val="000000"/>
                <w:lang w:eastAsia="en-GB"/>
              </w:rPr>
            </w:pPr>
          </w:p>
        </w:tc>
        <w:tc>
          <w:tcPr>
            <w:tcW w:w="783" w:type="pct"/>
            <w:tcBorders>
              <w:top w:val="single" w:sz="4" w:space="0" w:color="auto"/>
            </w:tcBorders>
            <w:shd w:val="clear" w:color="000000" w:fill="FFFFFF"/>
            <w:noWrap/>
            <w:vAlign w:val="bottom"/>
          </w:tcPr>
          <w:p w:rsidR="003264D2" w:rsidRPr="00A871A8" w:rsidRDefault="003264D2" w:rsidP="00A871A8">
            <w:pPr>
              <w:spacing w:after="0" w:line="240" w:lineRule="auto"/>
              <w:jc w:val="right"/>
              <w:rPr>
                <w:rFonts w:ascii="Calibri" w:eastAsia="Times New Roman" w:hAnsi="Calibri" w:cs="Calibri"/>
                <w:color w:val="000000"/>
                <w:lang w:eastAsia="en-GB"/>
              </w:rPr>
            </w:pPr>
          </w:p>
        </w:tc>
      </w:tr>
    </w:tbl>
    <w:p w:rsidR="00A871A8" w:rsidRDefault="00F87967" w:rsidP="00A871A8">
      <w:pPr>
        <w:jc w:val="both"/>
        <w:rPr>
          <w:b/>
          <w:i/>
        </w:rPr>
      </w:pPr>
      <w:r>
        <w:rPr>
          <w:b/>
          <w:sz w:val="24"/>
        </w:rPr>
        <w:lastRenderedPageBreak/>
        <w:t>2.2</w:t>
      </w:r>
      <w:r>
        <w:rPr>
          <w:b/>
          <w:sz w:val="24"/>
        </w:rPr>
        <w:tab/>
        <w:t>Impact of the p</w:t>
      </w:r>
      <w:r w:rsidRPr="00F87967">
        <w:rPr>
          <w:b/>
          <w:sz w:val="24"/>
        </w:rPr>
        <w:t xml:space="preserve">opulation estimate revisions and change in the reference population concept </w:t>
      </w:r>
    </w:p>
    <w:p w:rsidR="00F87967" w:rsidRDefault="00F87967" w:rsidP="00A871A8">
      <w:pPr>
        <w:jc w:val="both"/>
      </w:pPr>
      <w:r>
        <w:t>To understand the impact of the population estimate and concept changes on labour force indicators, we first need to understand their impact on the population used to weight the LFS. The</w:t>
      </w:r>
      <w:r w:rsidR="00265EE2">
        <w:t>se</w:t>
      </w:r>
      <w:r>
        <w:t xml:space="preserve"> are described in more detail in </w:t>
      </w:r>
      <w:r w:rsidR="00897F20">
        <w:t>the annex</w:t>
      </w:r>
      <w:r>
        <w:rPr>
          <w:b/>
          <w:i/>
        </w:rPr>
        <w:t xml:space="preserve">. </w:t>
      </w:r>
      <w:r>
        <w:t>Broadly speaking the important changes to note were:</w:t>
      </w:r>
    </w:p>
    <w:p w:rsidR="00A871A8" w:rsidRDefault="00F87967" w:rsidP="00F87967">
      <w:pPr>
        <w:pStyle w:val="a7"/>
        <w:numPr>
          <w:ilvl w:val="0"/>
          <w:numId w:val="7"/>
        </w:numPr>
        <w:jc w:val="both"/>
      </w:pPr>
      <w:r>
        <w:t xml:space="preserve">The overall size of the population is now lower </w:t>
      </w:r>
      <w:r w:rsidR="009C705A">
        <w:t xml:space="preserve">(26%) </w:t>
      </w:r>
      <w:r>
        <w:t>as people who are not usually resident are no longer included in the population estimate. As the population is lower then all labour force estimates</w:t>
      </w:r>
      <w:r w:rsidR="001D7819">
        <w:t xml:space="preserve"> of numbers of persons in different statuses (e.g. number of persons employed or unemployed)</w:t>
      </w:r>
      <w:r>
        <w:t xml:space="preserve"> are also expected to be lower.</w:t>
      </w:r>
    </w:p>
    <w:p w:rsidR="00F87967" w:rsidRDefault="00F87967" w:rsidP="00F87967">
      <w:pPr>
        <w:pStyle w:val="a7"/>
        <w:numPr>
          <w:ilvl w:val="0"/>
          <w:numId w:val="7"/>
        </w:numPr>
        <w:jc w:val="both"/>
      </w:pPr>
      <w:r>
        <w:t>The distribution of the population is different</w:t>
      </w:r>
      <w:r w:rsidR="009C705A">
        <w:t xml:space="preserve"> as the impact was higher in some groups than others</w:t>
      </w:r>
      <w:r>
        <w:t xml:space="preserve">. </w:t>
      </w:r>
      <w:r w:rsidR="009C705A">
        <w:t xml:space="preserve">For example the largest impact was seen in urban areas (-33%) and younger age groups. </w:t>
      </w:r>
      <w:r w:rsidR="0053326B">
        <w:t>Because different population subgroups have different levels of labour market participation this change in distribution has an impact on key rates such as the employment</w:t>
      </w:r>
      <w:r w:rsidR="001D7819">
        <w:t>-</w:t>
      </w:r>
      <w:r w:rsidR="0053326B">
        <w:t>to</w:t>
      </w:r>
      <w:r w:rsidR="001D7819">
        <w:t>-</w:t>
      </w:r>
      <w:r w:rsidR="0053326B">
        <w:t>population ratio and unemployment rate.</w:t>
      </w:r>
    </w:p>
    <w:p w:rsidR="006B3DDA" w:rsidRDefault="006B3DDA" w:rsidP="00960952">
      <w:pPr>
        <w:jc w:val="both"/>
      </w:pPr>
      <w:r>
        <w:t>As the population estimates are used to weight the results from the LFS the changes have had an impact on labour market estimates as described below.</w:t>
      </w:r>
    </w:p>
    <w:p w:rsidR="00960952" w:rsidRPr="00960952" w:rsidRDefault="00960952" w:rsidP="00960952">
      <w:pPr>
        <w:pStyle w:val="a7"/>
        <w:numPr>
          <w:ilvl w:val="2"/>
          <w:numId w:val="5"/>
        </w:numPr>
        <w:jc w:val="both"/>
        <w:rPr>
          <w:b/>
          <w:i/>
        </w:rPr>
      </w:pPr>
      <w:r w:rsidRPr="00960952">
        <w:rPr>
          <w:b/>
          <w:i/>
        </w:rPr>
        <w:t xml:space="preserve">Impact of the new population </w:t>
      </w:r>
      <w:r w:rsidR="009A2AAC">
        <w:rPr>
          <w:b/>
          <w:i/>
        </w:rPr>
        <w:t xml:space="preserve">definition and </w:t>
      </w:r>
      <w:r w:rsidRPr="00960952">
        <w:rPr>
          <w:b/>
          <w:i/>
        </w:rPr>
        <w:t>estimates on employment estimates</w:t>
      </w:r>
    </w:p>
    <w:p w:rsidR="006133AA" w:rsidRDefault="002166AE" w:rsidP="001D71EF">
      <w:pPr>
        <w:jc w:val="both"/>
      </w:pPr>
      <w:r>
        <w:t xml:space="preserve">To allow this comparison series have been calculated using both the old and new population estimates. The old </w:t>
      </w:r>
      <w:r w:rsidR="001D7819">
        <w:t xml:space="preserve">(stable) </w:t>
      </w:r>
      <w:r>
        <w:t>population estimates were used for the analysis presented in section 2.1. In this section we a</w:t>
      </w:r>
      <w:r w:rsidR="00377144">
        <w:t>d</w:t>
      </w:r>
      <w:r>
        <w:t>d in the series using the new</w:t>
      </w:r>
      <w:r w:rsidR="001D7819">
        <w:t xml:space="preserve"> (usually resident)</w:t>
      </w:r>
      <w:r>
        <w:t xml:space="preserve"> population estimate</w:t>
      </w:r>
      <w:r w:rsidR="00377144">
        <w:t>s</w:t>
      </w:r>
      <w:r>
        <w:t xml:space="preserve">. We will focus only on averages for 2018. </w:t>
      </w:r>
    </w:p>
    <w:p w:rsidR="006133AA" w:rsidRDefault="00C641DA" w:rsidP="001D71EF">
      <w:pPr>
        <w:jc w:val="both"/>
      </w:pPr>
      <w:r>
        <w:t xml:space="preserve">In table 5 we can see 3 different series of data. The first 2 are those </w:t>
      </w:r>
      <w:r w:rsidR="00D85CD1">
        <w:t xml:space="preserve">already </w:t>
      </w:r>
      <w:r>
        <w:t>described in section</w:t>
      </w:r>
      <w:r w:rsidR="00D85CD1">
        <w:t xml:space="preserve"> 2.1</w:t>
      </w:r>
      <w:r>
        <w:t xml:space="preserve">, while the third one is the new set of estimates based on all the changes. By comparing all 3 we can </w:t>
      </w:r>
      <w:r w:rsidR="000D6F2C">
        <w:t xml:space="preserve">analyse the impact of the population change alone (the column </w:t>
      </w:r>
      <w:r w:rsidR="000D6F2C" w:rsidRPr="000D6F2C">
        <w:rPr>
          <w:i/>
        </w:rPr>
        <w:t>“Change due to population estimates”</w:t>
      </w:r>
      <w:r w:rsidR="000D6F2C">
        <w:t xml:space="preserve">), plus the overall change when both changes are considered (the column </w:t>
      </w:r>
      <w:r w:rsidR="000D6F2C" w:rsidRPr="000D6F2C">
        <w:rPr>
          <w:i/>
        </w:rPr>
        <w:t>“Total change (old to new estimate</w:t>
      </w:r>
      <w:r w:rsidR="000D6F2C">
        <w:t>)</w:t>
      </w:r>
      <w:r w:rsidR="000D6F2C" w:rsidRPr="000D6F2C">
        <w:rPr>
          <w:i/>
        </w:rPr>
        <w:t>”</w:t>
      </w:r>
      <w:r w:rsidR="000D6F2C">
        <w:t>).</w:t>
      </w:r>
    </w:p>
    <w:p w:rsidR="00913C4D" w:rsidRPr="00913C4D" w:rsidRDefault="00913C4D" w:rsidP="001D71EF">
      <w:pPr>
        <w:jc w:val="both"/>
        <w:rPr>
          <w:i/>
        </w:rPr>
      </w:pPr>
      <w:r>
        <w:rPr>
          <w:i/>
        </w:rPr>
        <w:t>Number of persons employed</w:t>
      </w:r>
    </w:p>
    <w:p w:rsidR="00FF5893" w:rsidRDefault="00FF5893" w:rsidP="001D71EF">
      <w:pPr>
        <w:jc w:val="both"/>
      </w:pPr>
      <w:r>
        <w:t>The population concept and estimate change caused a reduction of 234,200 (19% of the original estimate)</w:t>
      </w:r>
      <w:r w:rsidR="003D3DC2">
        <w:t xml:space="preserve"> </w:t>
      </w:r>
      <w:r w:rsidR="00310AA5">
        <w:t>of</w:t>
      </w:r>
      <w:r w:rsidR="003D3DC2">
        <w:t xml:space="preserve"> the number of persons employed</w:t>
      </w:r>
      <w:r>
        <w:t xml:space="preserve">. When combined with the introduction of the new standards </w:t>
      </w:r>
      <w:r w:rsidR="00AB4CC0">
        <w:t>the level of employment recorded for 2018 was 794,100, which was 458,200 or 37% lower than the level recorded under the old series.</w:t>
      </w:r>
      <w:r w:rsidR="00377144">
        <w:t xml:space="preserve"> This means that the population definition change and new population estimates accounted for approximately half of the difference between the old and new employment estimate, with the other half being due to the introduction of the new standards.</w:t>
      </w:r>
    </w:p>
    <w:p w:rsidR="006B3DDA" w:rsidRDefault="006B3DDA" w:rsidP="001D71EF">
      <w:pPr>
        <w:jc w:val="both"/>
      </w:pPr>
      <w:r>
        <w:t>When we look at different subgroups of the population</w:t>
      </w:r>
      <w:r w:rsidR="001D7819">
        <w:t>,</w:t>
      </w:r>
      <w:r>
        <w:t xml:space="preserve"> we see that the greatest impacts were not for the same groups as the introduction of the new standards. For example the greatest difference in the population estimates were seen in urban areas, the Chisinau Municipality and relatively younger age groups, meaning the difference in employment estimates was also greatest for those groups</w:t>
      </w:r>
      <w:r w:rsidR="007C56B8">
        <w:t xml:space="preserve"> (see figure 6 and table 5)</w:t>
      </w:r>
      <w:r>
        <w:t xml:space="preserve">. </w:t>
      </w:r>
      <w:r w:rsidR="007C56B8">
        <w:t>Points to note include:</w:t>
      </w:r>
    </w:p>
    <w:p w:rsidR="007C56B8" w:rsidRDefault="006B3DDA" w:rsidP="006B3DDA">
      <w:pPr>
        <w:pStyle w:val="a7"/>
        <w:numPr>
          <w:ilvl w:val="0"/>
          <w:numId w:val="9"/>
        </w:numPr>
        <w:jc w:val="both"/>
      </w:pPr>
      <w:r>
        <w:t xml:space="preserve">In urban areas the employment estimate was 151,000 (28%) lower as a result of the </w:t>
      </w:r>
      <w:r w:rsidR="007C56B8">
        <w:t>new population estimates. When combined with the introduction of the new standards the new employment estimate in urban areas is 164,400 (31%) lower than the old employment estimate.</w:t>
      </w:r>
    </w:p>
    <w:p w:rsidR="006B3DDA" w:rsidRDefault="007C56B8" w:rsidP="006B3DDA">
      <w:pPr>
        <w:pStyle w:val="a7"/>
        <w:numPr>
          <w:ilvl w:val="0"/>
          <w:numId w:val="9"/>
        </w:numPr>
        <w:jc w:val="both"/>
      </w:pPr>
      <w:r>
        <w:lastRenderedPageBreak/>
        <w:t xml:space="preserve">In rural areas the reduction due to the new population estimates was 83,000 (12%), while the new standards had a larger impact. Overall the combined difference was 293,800 or 41% of the old employment estimate in rural areas. </w:t>
      </w:r>
    </w:p>
    <w:p w:rsidR="007C56B8" w:rsidRDefault="007C56B8" w:rsidP="006B3DDA">
      <w:pPr>
        <w:pStyle w:val="a7"/>
        <w:numPr>
          <w:ilvl w:val="0"/>
          <w:numId w:val="9"/>
        </w:numPr>
        <w:jc w:val="both"/>
      </w:pPr>
      <w:r>
        <w:t>Broadly speaking both the new population estimates and the introduction of the new international standards had similar impacts for men and women.</w:t>
      </w:r>
    </w:p>
    <w:p w:rsidR="007C56B8" w:rsidRDefault="007C56B8" w:rsidP="006B3DDA">
      <w:pPr>
        <w:pStyle w:val="a7"/>
        <w:numPr>
          <w:ilvl w:val="0"/>
          <w:numId w:val="9"/>
        </w:numPr>
        <w:jc w:val="both"/>
      </w:pPr>
      <w:r>
        <w:t xml:space="preserve">While the new international standards had only impacted the </w:t>
      </w:r>
      <w:r>
        <w:rPr>
          <w:i/>
        </w:rPr>
        <w:t>Agriculture, forestry and fishing</w:t>
      </w:r>
      <w:r>
        <w:rPr>
          <w:u w:val="single"/>
        </w:rPr>
        <w:t xml:space="preserve"> </w:t>
      </w:r>
      <w:r>
        <w:t xml:space="preserve">sector, the new population estimates mainly impacted other sectors. This is expected </w:t>
      </w:r>
      <w:r w:rsidR="003D3DC2">
        <w:t xml:space="preserve">as </w:t>
      </w:r>
      <w:r>
        <w:t xml:space="preserve">they had the largest impact in urban areas. The estimate of employment in other sectors reduced from 800,200 to 599,900 (-25%) due to the new population estimates. </w:t>
      </w:r>
    </w:p>
    <w:p w:rsidR="000D6F2C" w:rsidRDefault="000D6F2C" w:rsidP="001D71EF">
      <w:pPr>
        <w:jc w:val="both"/>
      </w:pPr>
      <w:r>
        <w:rPr>
          <w:noProof/>
          <w:lang w:val="ru-RU" w:eastAsia="ru-RU"/>
        </w:rPr>
        <w:drawing>
          <wp:inline distT="0" distB="0" distL="0" distR="0">
            <wp:extent cx="5731510" cy="42672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41DA" w:rsidRDefault="00C641DA" w:rsidP="001D71EF">
      <w:pPr>
        <w:jc w:val="both"/>
      </w:pPr>
    </w:p>
    <w:p w:rsidR="00C641DA" w:rsidRDefault="00C641DA" w:rsidP="001D71EF">
      <w:pPr>
        <w:jc w:val="both"/>
        <w:sectPr w:rsidR="00C641DA" w:rsidSect="00C641DA">
          <w:footerReference w:type="default" r:id="rId15"/>
          <w:pgSz w:w="11906" w:h="16838"/>
          <w:pgMar w:top="1440" w:right="1440" w:bottom="1440" w:left="1440" w:header="708" w:footer="708" w:gutter="0"/>
          <w:cols w:space="708"/>
          <w:docGrid w:linePitch="360"/>
        </w:sectPr>
      </w:pPr>
    </w:p>
    <w:tbl>
      <w:tblPr>
        <w:tblW w:w="5000" w:type="pct"/>
        <w:tblLook w:val="04A0"/>
      </w:tblPr>
      <w:tblGrid>
        <w:gridCol w:w="2713"/>
        <w:gridCol w:w="2757"/>
        <w:gridCol w:w="2529"/>
        <w:gridCol w:w="2211"/>
        <w:gridCol w:w="266"/>
        <w:gridCol w:w="789"/>
        <w:gridCol w:w="929"/>
        <w:gridCol w:w="266"/>
        <w:gridCol w:w="785"/>
        <w:gridCol w:w="929"/>
      </w:tblGrid>
      <w:tr w:rsidR="00C641DA" w:rsidRPr="00C641DA" w:rsidTr="00C641DA">
        <w:trPr>
          <w:trHeight w:val="300"/>
        </w:trPr>
        <w:tc>
          <w:tcPr>
            <w:tcW w:w="2591" w:type="pct"/>
            <w:gridSpan w:val="3"/>
            <w:tcBorders>
              <w:top w:val="nil"/>
              <w:left w:val="nil"/>
              <w:bottom w:val="nil"/>
              <w:right w:val="nil"/>
            </w:tcBorders>
            <w:shd w:val="clear" w:color="auto" w:fill="auto"/>
            <w:noWrap/>
            <w:vAlign w:val="bottom"/>
            <w:hideMark/>
          </w:tcPr>
          <w:p w:rsidR="00C641DA" w:rsidRPr="00C641DA" w:rsidRDefault="00C641DA" w:rsidP="004839E6">
            <w:pPr>
              <w:spacing w:after="0" w:line="240" w:lineRule="auto"/>
              <w:rPr>
                <w:rFonts w:ascii="Calibri" w:eastAsia="Times New Roman" w:hAnsi="Calibri" w:cs="Calibri"/>
                <w:b/>
                <w:color w:val="000000"/>
                <w:lang w:eastAsia="en-GB"/>
              </w:rPr>
            </w:pPr>
            <w:r w:rsidRPr="00C641DA">
              <w:rPr>
                <w:rFonts w:ascii="Calibri" w:eastAsia="Times New Roman" w:hAnsi="Calibri" w:cs="Calibri"/>
                <w:b/>
                <w:color w:val="000000"/>
                <w:lang w:eastAsia="en-GB"/>
              </w:rPr>
              <w:lastRenderedPageBreak/>
              <w:t>Table 5 - Impact of changes on estimates</w:t>
            </w:r>
            <w:r w:rsidR="004839E6">
              <w:rPr>
                <w:rFonts w:ascii="Calibri" w:eastAsia="Times New Roman" w:hAnsi="Calibri" w:cs="Calibri"/>
                <w:b/>
                <w:color w:val="000000"/>
                <w:lang w:eastAsia="en-GB"/>
              </w:rPr>
              <w:t xml:space="preserve"> of number of persons employed</w:t>
            </w:r>
            <w:r w:rsidRPr="00C641DA">
              <w:rPr>
                <w:rFonts w:ascii="Calibri" w:eastAsia="Times New Roman" w:hAnsi="Calibri" w:cs="Calibri"/>
                <w:b/>
                <w:color w:val="000000"/>
                <w:lang w:eastAsia="en-GB"/>
              </w:rPr>
              <w:t>, 2018</w:t>
            </w:r>
          </w:p>
        </w:tc>
        <w:tc>
          <w:tcPr>
            <w:tcW w:w="945" w:type="pct"/>
            <w:tcBorders>
              <w:top w:val="nil"/>
              <w:left w:val="nil"/>
              <w:bottom w:val="nil"/>
              <w:right w:val="nil"/>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p>
        </w:tc>
        <w:tc>
          <w:tcPr>
            <w:tcW w:w="80" w:type="pct"/>
            <w:tcBorders>
              <w:top w:val="nil"/>
              <w:left w:val="nil"/>
              <w:bottom w:val="nil"/>
              <w:right w:val="nil"/>
            </w:tcBorders>
            <w:shd w:val="clear" w:color="auto" w:fill="auto"/>
            <w:noWrap/>
            <w:vAlign w:val="bottom"/>
            <w:hideMark/>
          </w:tcPr>
          <w:p w:rsidR="00C641DA" w:rsidRPr="00C641DA" w:rsidRDefault="00C641DA" w:rsidP="00C641DA">
            <w:pPr>
              <w:spacing w:after="0" w:line="240" w:lineRule="auto"/>
              <w:rPr>
                <w:rFonts w:ascii="Times New Roman" w:eastAsia="Times New Roman" w:hAnsi="Times New Roman" w:cs="Times New Roman"/>
                <w:sz w:val="20"/>
                <w:szCs w:val="20"/>
                <w:lang w:eastAsia="en-GB"/>
              </w:rPr>
            </w:pPr>
          </w:p>
        </w:tc>
        <w:tc>
          <w:tcPr>
            <w:tcW w:w="443"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rPr>
                <w:rFonts w:ascii="Times New Roman" w:eastAsia="Times New Roman" w:hAnsi="Times New Roman" w:cs="Times New Roman"/>
                <w:sz w:val="20"/>
                <w:szCs w:val="20"/>
                <w:lang w:eastAsia="en-GB"/>
              </w:rPr>
            </w:pPr>
          </w:p>
        </w:tc>
        <w:tc>
          <w:tcPr>
            <w:tcW w:w="287"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rsidR="00C641DA" w:rsidRPr="00C641DA" w:rsidRDefault="00C641DA" w:rsidP="00C641DA">
            <w:pPr>
              <w:spacing w:after="0" w:line="240" w:lineRule="auto"/>
              <w:rPr>
                <w:rFonts w:ascii="Times New Roman" w:eastAsia="Times New Roman" w:hAnsi="Times New Roman" w:cs="Times New Roman"/>
                <w:sz w:val="20"/>
                <w:szCs w:val="20"/>
                <w:lang w:eastAsia="en-GB"/>
              </w:rPr>
            </w:pPr>
          </w:p>
        </w:tc>
        <w:tc>
          <w:tcPr>
            <w:tcW w:w="287"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rPr>
                <w:rFonts w:ascii="Times New Roman" w:eastAsia="Times New Roman" w:hAnsi="Times New Roman" w:cs="Times New Roman"/>
                <w:sz w:val="20"/>
                <w:szCs w:val="20"/>
                <w:lang w:eastAsia="en-GB"/>
              </w:rPr>
            </w:pPr>
          </w:p>
        </w:tc>
        <w:tc>
          <w:tcPr>
            <w:tcW w:w="287"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rPr>
                <w:rFonts w:ascii="Times New Roman" w:eastAsia="Times New Roman" w:hAnsi="Times New Roman" w:cs="Times New Roman"/>
                <w:sz w:val="20"/>
                <w:szCs w:val="20"/>
                <w:lang w:eastAsia="en-GB"/>
              </w:rPr>
            </w:pPr>
          </w:p>
        </w:tc>
      </w:tr>
      <w:tr w:rsidR="00C641DA" w:rsidRPr="00C641DA" w:rsidTr="00C641DA">
        <w:trPr>
          <w:trHeight w:val="300"/>
        </w:trPr>
        <w:tc>
          <w:tcPr>
            <w:tcW w:w="75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780"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C641DA" w:rsidRPr="00C641DA" w:rsidRDefault="00C641DA" w:rsidP="00C641DA">
            <w:pPr>
              <w:spacing w:after="0" w:line="240" w:lineRule="auto"/>
              <w:jc w:val="center"/>
              <w:rPr>
                <w:rFonts w:ascii="Calibri" w:eastAsia="Times New Roman" w:hAnsi="Calibri" w:cs="Calibri"/>
                <w:b/>
                <w:bCs/>
                <w:color w:val="000000"/>
                <w:lang w:eastAsia="en-GB"/>
              </w:rPr>
            </w:pPr>
            <w:r w:rsidRPr="00C641DA">
              <w:rPr>
                <w:rFonts w:ascii="Calibri" w:eastAsia="Times New Roman" w:hAnsi="Calibri" w:cs="Calibri"/>
                <w:b/>
                <w:bCs/>
                <w:color w:val="000000"/>
                <w:lang w:eastAsia="en-GB"/>
              </w:rPr>
              <w:t>2018 average</w:t>
            </w:r>
          </w:p>
        </w:tc>
        <w:tc>
          <w:tcPr>
            <w:tcW w:w="80" w:type="pct"/>
            <w:tcBorders>
              <w:top w:val="single" w:sz="4" w:space="0" w:color="auto"/>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jc w:val="center"/>
              <w:rPr>
                <w:rFonts w:ascii="Calibri" w:eastAsia="Times New Roman" w:hAnsi="Calibri" w:cs="Calibri"/>
                <w:b/>
                <w:bCs/>
                <w:color w:val="000000"/>
                <w:lang w:eastAsia="en-GB"/>
              </w:rPr>
            </w:pPr>
            <w:r w:rsidRPr="00C641DA">
              <w:rPr>
                <w:rFonts w:ascii="Calibri" w:eastAsia="Times New Roman" w:hAnsi="Calibri" w:cs="Calibri"/>
                <w:b/>
                <w:bCs/>
                <w:color w:val="000000"/>
                <w:lang w:eastAsia="en-GB"/>
              </w:rPr>
              <w:t> </w:t>
            </w:r>
          </w:p>
        </w:tc>
        <w:tc>
          <w:tcPr>
            <w:tcW w:w="443" w:type="pct"/>
            <w:tcBorders>
              <w:top w:val="single" w:sz="4" w:space="0" w:color="auto"/>
              <w:left w:val="single" w:sz="4" w:space="0" w:color="auto"/>
              <w:bottom w:val="single" w:sz="4" w:space="0" w:color="auto"/>
            </w:tcBorders>
            <w:shd w:val="clear" w:color="000000" w:fill="D9D9D9"/>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bottom w:val="single" w:sz="4" w:space="0" w:color="auto"/>
              <w:right w:val="single" w:sz="4" w:space="0" w:color="auto"/>
            </w:tcBorders>
            <w:shd w:val="clear" w:color="000000" w:fill="D9D9D9"/>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80" w:type="pct"/>
            <w:tcBorders>
              <w:top w:val="single" w:sz="4" w:space="0" w:color="auto"/>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left w:val="nil"/>
              <w:bottom w:val="single" w:sz="4" w:space="0" w:color="auto"/>
            </w:tcBorders>
            <w:shd w:val="clear" w:color="000000" w:fill="D9D9D9"/>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bottom w:val="single" w:sz="4" w:space="0" w:color="auto"/>
              <w:right w:val="single" w:sz="4" w:space="0" w:color="auto"/>
            </w:tcBorders>
            <w:shd w:val="clear" w:color="000000" w:fill="D9D9D9"/>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r>
      <w:tr w:rsidR="00C641DA" w:rsidRPr="00C641DA" w:rsidTr="00C641DA">
        <w:trPr>
          <w:trHeight w:val="570"/>
        </w:trPr>
        <w:tc>
          <w:tcPr>
            <w:tcW w:w="756" w:type="pct"/>
            <w:tcBorders>
              <w:top w:val="nil"/>
              <w:left w:val="single" w:sz="4" w:space="0" w:color="auto"/>
              <w:bottom w:val="single" w:sz="4" w:space="0" w:color="auto"/>
              <w:right w:val="single" w:sz="4" w:space="0" w:color="auto"/>
            </w:tcBorders>
            <w:shd w:val="clear" w:color="000000" w:fill="D9D9D9"/>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957" w:type="pct"/>
            <w:tcBorders>
              <w:top w:val="nil"/>
              <w:left w:val="nil"/>
              <w:bottom w:val="single" w:sz="4" w:space="0" w:color="auto"/>
              <w:right w:val="single" w:sz="4" w:space="0" w:color="auto"/>
            </w:tcBorders>
            <w:shd w:val="clear" w:color="auto" w:fill="auto"/>
            <w:vAlign w:val="bottom"/>
            <w:hideMark/>
          </w:tcPr>
          <w:p w:rsidR="00C641DA" w:rsidRPr="00C641DA" w:rsidRDefault="00C641DA" w:rsidP="00C641DA">
            <w:pPr>
              <w:spacing w:after="0" w:line="240" w:lineRule="auto"/>
              <w:rPr>
                <w:rFonts w:ascii="Calibri" w:eastAsia="Times New Roman" w:hAnsi="Calibri" w:cs="Calibri"/>
                <w:b/>
                <w:bCs/>
                <w:color w:val="000000"/>
                <w:lang w:eastAsia="en-GB"/>
              </w:rPr>
            </w:pPr>
            <w:r w:rsidRPr="00C641DA">
              <w:rPr>
                <w:rFonts w:ascii="Calibri" w:eastAsia="Times New Roman" w:hAnsi="Calibri" w:cs="Calibri"/>
                <w:b/>
                <w:bCs/>
                <w:color w:val="000000"/>
                <w:lang w:eastAsia="en-GB"/>
              </w:rPr>
              <w:t>Old standards, stable population (old estimate)</w:t>
            </w:r>
          </w:p>
        </w:tc>
        <w:tc>
          <w:tcPr>
            <w:tcW w:w="878" w:type="pct"/>
            <w:tcBorders>
              <w:top w:val="nil"/>
              <w:left w:val="nil"/>
              <w:bottom w:val="single" w:sz="4" w:space="0" w:color="auto"/>
              <w:right w:val="single" w:sz="4" w:space="0" w:color="auto"/>
            </w:tcBorders>
            <w:shd w:val="clear" w:color="auto" w:fill="auto"/>
            <w:vAlign w:val="bottom"/>
            <w:hideMark/>
          </w:tcPr>
          <w:p w:rsidR="00C641DA" w:rsidRPr="00C641DA" w:rsidRDefault="00C641DA" w:rsidP="00C641DA">
            <w:pPr>
              <w:spacing w:after="0" w:line="240" w:lineRule="auto"/>
              <w:rPr>
                <w:rFonts w:ascii="Calibri" w:eastAsia="Times New Roman" w:hAnsi="Calibri" w:cs="Calibri"/>
                <w:b/>
                <w:bCs/>
                <w:color w:val="000000"/>
                <w:lang w:eastAsia="en-GB"/>
              </w:rPr>
            </w:pPr>
            <w:r w:rsidRPr="00C641DA">
              <w:rPr>
                <w:rFonts w:ascii="Calibri" w:eastAsia="Times New Roman" w:hAnsi="Calibri" w:cs="Calibri"/>
                <w:b/>
                <w:bCs/>
                <w:color w:val="000000"/>
                <w:lang w:eastAsia="en-GB"/>
              </w:rPr>
              <w:t>New Standards, stable population</w:t>
            </w:r>
          </w:p>
        </w:tc>
        <w:tc>
          <w:tcPr>
            <w:tcW w:w="945" w:type="pct"/>
            <w:tcBorders>
              <w:top w:val="nil"/>
              <w:left w:val="nil"/>
              <w:bottom w:val="single" w:sz="4" w:space="0" w:color="auto"/>
              <w:right w:val="nil"/>
            </w:tcBorders>
            <w:shd w:val="clear" w:color="auto" w:fill="auto"/>
            <w:vAlign w:val="bottom"/>
            <w:hideMark/>
          </w:tcPr>
          <w:p w:rsidR="00C641DA" w:rsidRPr="00C641DA" w:rsidRDefault="00C641DA" w:rsidP="00C641DA">
            <w:pPr>
              <w:spacing w:after="0" w:line="240" w:lineRule="auto"/>
              <w:rPr>
                <w:rFonts w:ascii="Calibri" w:eastAsia="Times New Roman" w:hAnsi="Calibri" w:cs="Calibri"/>
                <w:b/>
                <w:bCs/>
                <w:color w:val="000000"/>
                <w:lang w:eastAsia="en-GB"/>
              </w:rPr>
            </w:pPr>
            <w:r w:rsidRPr="00C641DA">
              <w:rPr>
                <w:rFonts w:ascii="Calibri" w:eastAsia="Times New Roman" w:hAnsi="Calibri" w:cs="Calibri"/>
                <w:b/>
                <w:bCs/>
                <w:color w:val="000000"/>
                <w:lang w:eastAsia="en-GB"/>
              </w:rPr>
              <w:t>New Standards, new population (new estimate)</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b/>
                <w:bCs/>
                <w:color w:val="000000"/>
                <w:lang w:eastAsia="en-GB"/>
              </w:rPr>
            </w:pPr>
            <w:r w:rsidRPr="00C641DA">
              <w:rPr>
                <w:rFonts w:ascii="Calibri" w:eastAsia="Times New Roman" w:hAnsi="Calibri" w:cs="Calibri"/>
                <w:b/>
                <w:bCs/>
                <w:color w:val="000000"/>
                <w:lang w:eastAsia="en-GB"/>
              </w:rPr>
              <w:t> </w:t>
            </w:r>
          </w:p>
        </w:tc>
        <w:tc>
          <w:tcPr>
            <w:tcW w:w="730" w:type="pct"/>
            <w:gridSpan w:val="2"/>
            <w:tcBorders>
              <w:top w:val="single" w:sz="4" w:space="0" w:color="auto"/>
              <w:left w:val="nil"/>
              <w:bottom w:val="single" w:sz="4" w:space="0" w:color="auto"/>
              <w:right w:val="single" w:sz="4" w:space="0" w:color="auto"/>
            </w:tcBorders>
            <w:shd w:val="clear" w:color="auto" w:fill="auto"/>
            <w:vAlign w:val="bottom"/>
            <w:hideMark/>
          </w:tcPr>
          <w:p w:rsidR="00C641DA" w:rsidRPr="00C641DA" w:rsidRDefault="00C641DA" w:rsidP="00C641DA">
            <w:pPr>
              <w:spacing w:after="0" w:line="240" w:lineRule="auto"/>
              <w:jc w:val="center"/>
              <w:rPr>
                <w:rFonts w:ascii="Calibri" w:eastAsia="Times New Roman" w:hAnsi="Calibri" w:cs="Calibri"/>
                <w:color w:val="000000"/>
                <w:lang w:eastAsia="en-GB"/>
              </w:rPr>
            </w:pPr>
            <w:r w:rsidRPr="00C641DA">
              <w:rPr>
                <w:rFonts w:ascii="Calibri" w:eastAsia="Times New Roman" w:hAnsi="Calibri" w:cs="Calibri"/>
                <w:color w:val="000000"/>
                <w:lang w:eastAsia="en-GB"/>
              </w:rPr>
              <w:t>Change due to population estimates</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574" w:type="pct"/>
            <w:gridSpan w:val="2"/>
            <w:tcBorders>
              <w:top w:val="single" w:sz="4" w:space="0" w:color="auto"/>
              <w:left w:val="nil"/>
              <w:bottom w:val="single" w:sz="4" w:space="0" w:color="auto"/>
              <w:right w:val="single" w:sz="4" w:space="0" w:color="auto"/>
            </w:tcBorders>
            <w:shd w:val="clear" w:color="auto" w:fill="auto"/>
            <w:vAlign w:val="bottom"/>
            <w:hideMark/>
          </w:tcPr>
          <w:p w:rsidR="00C641DA" w:rsidRPr="00C641DA" w:rsidRDefault="00C641DA" w:rsidP="00C641DA">
            <w:pPr>
              <w:spacing w:after="0" w:line="240" w:lineRule="auto"/>
              <w:jc w:val="center"/>
              <w:rPr>
                <w:rFonts w:ascii="Calibri" w:eastAsia="Times New Roman" w:hAnsi="Calibri" w:cs="Calibri"/>
                <w:color w:val="000000"/>
                <w:lang w:eastAsia="en-GB"/>
              </w:rPr>
            </w:pPr>
            <w:r w:rsidRPr="00C641DA">
              <w:rPr>
                <w:rFonts w:ascii="Calibri" w:eastAsia="Times New Roman" w:hAnsi="Calibri" w:cs="Calibri"/>
                <w:color w:val="000000"/>
                <w:lang w:eastAsia="en-GB"/>
              </w:rPr>
              <w:t>Total change (old to new estimate)</w:t>
            </w:r>
          </w:p>
        </w:tc>
      </w:tr>
      <w:tr w:rsidR="00C641DA" w:rsidRPr="00C641DA" w:rsidTr="00C641DA">
        <w:trPr>
          <w:trHeight w:val="525"/>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780" w:type="pct"/>
            <w:gridSpan w:val="3"/>
            <w:tcBorders>
              <w:top w:val="single" w:sz="4" w:space="0" w:color="auto"/>
              <w:left w:val="nil"/>
              <w:bottom w:val="single" w:sz="4" w:space="0" w:color="auto"/>
              <w:right w:val="nil"/>
            </w:tcBorders>
            <w:shd w:val="clear" w:color="auto" w:fill="auto"/>
            <w:noWrap/>
            <w:vAlign w:val="center"/>
            <w:hideMark/>
          </w:tcPr>
          <w:p w:rsidR="00C641DA" w:rsidRPr="00C641DA" w:rsidRDefault="00C641DA" w:rsidP="00C641DA">
            <w:pPr>
              <w:spacing w:after="0" w:line="240" w:lineRule="auto"/>
              <w:jc w:val="center"/>
              <w:rPr>
                <w:rFonts w:ascii="Calibri" w:eastAsia="Times New Roman" w:hAnsi="Calibri" w:cs="Calibri"/>
                <w:color w:val="000000"/>
                <w:lang w:eastAsia="en-GB"/>
              </w:rPr>
            </w:pPr>
            <w:r w:rsidRPr="00C641DA">
              <w:rPr>
                <w:rFonts w:ascii="Calibri" w:eastAsia="Times New Roman" w:hAnsi="Calibri" w:cs="Calibri"/>
                <w:color w:val="000000"/>
                <w:lang w:eastAsia="en-GB"/>
              </w:rPr>
              <w:t>Persons 000's</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jc w:val="center"/>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vAlign w:val="bottom"/>
            <w:hideMark/>
          </w:tcPr>
          <w:p w:rsidR="00C641DA" w:rsidRPr="00C641DA" w:rsidRDefault="00C641DA" w:rsidP="00700466">
            <w:pPr>
              <w:spacing w:after="0" w:line="240" w:lineRule="auto"/>
              <w:jc w:val="center"/>
              <w:rPr>
                <w:rFonts w:ascii="Calibri" w:eastAsia="Times New Roman" w:hAnsi="Calibri" w:cs="Calibri"/>
                <w:color w:val="000000"/>
                <w:sz w:val="20"/>
                <w:szCs w:val="20"/>
                <w:lang w:eastAsia="en-GB"/>
              </w:rPr>
            </w:pPr>
            <w:r w:rsidRPr="00C641DA">
              <w:rPr>
                <w:rFonts w:ascii="Calibri" w:eastAsia="Times New Roman" w:hAnsi="Calibri" w:cs="Calibri"/>
                <w:color w:val="000000"/>
                <w:sz w:val="20"/>
                <w:szCs w:val="20"/>
                <w:lang w:eastAsia="en-GB"/>
              </w:rPr>
              <w:t>000's</w:t>
            </w:r>
          </w:p>
        </w:tc>
        <w:tc>
          <w:tcPr>
            <w:tcW w:w="287" w:type="pct"/>
            <w:tcBorders>
              <w:top w:val="nil"/>
              <w:left w:val="nil"/>
              <w:bottom w:val="single" w:sz="4" w:space="0" w:color="auto"/>
              <w:right w:val="single" w:sz="4" w:space="0" w:color="auto"/>
            </w:tcBorders>
            <w:shd w:val="clear" w:color="auto" w:fill="auto"/>
            <w:vAlign w:val="bottom"/>
            <w:hideMark/>
          </w:tcPr>
          <w:p w:rsidR="00C641DA" w:rsidRPr="00C641DA" w:rsidRDefault="00C641DA" w:rsidP="00C641DA">
            <w:pPr>
              <w:spacing w:after="0" w:line="240" w:lineRule="auto"/>
              <w:rPr>
                <w:rFonts w:ascii="Calibri" w:eastAsia="Times New Roman" w:hAnsi="Calibri" w:cs="Calibri"/>
                <w:color w:val="000000"/>
                <w:sz w:val="20"/>
                <w:szCs w:val="20"/>
                <w:lang w:eastAsia="en-GB"/>
              </w:rPr>
            </w:pPr>
            <w:r w:rsidRPr="00C641DA">
              <w:rPr>
                <w:rFonts w:ascii="Calibri" w:eastAsia="Times New Roman" w:hAnsi="Calibri" w:cs="Calibri"/>
                <w:color w:val="000000"/>
                <w:sz w:val="20"/>
                <w:szCs w:val="20"/>
                <w:lang w:eastAsia="en-GB"/>
              </w:rPr>
              <w:t>% of old estimate</w:t>
            </w:r>
          </w:p>
        </w:tc>
        <w:tc>
          <w:tcPr>
            <w:tcW w:w="80" w:type="pct"/>
            <w:tcBorders>
              <w:top w:val="nil"/>
              <w:left w:val="nil"/>
              <w:bottom w:val="nil"/>
              <w:right w:val="single" w:sz="4" w:space="0" w:color="auto"/>
            </w:tcBorders>
            <w:shd w:val="clear" w:color="000000" w:fill="F2F2F2"/>
            <w:vAlign w:val="bottom"/>
            <w:hideMark/>
          </w:tcPr>
          <w:p w:rsidR="00C641DA" w:rsidRPr="00C641DA" w:rsidRDefault="00C641DA" w:rsidP="00C641DA">
            <w:pPr>
              <w:spacing w:after="0" w:line="240" w:lineRule="auto"/>
              <w:rPr>
                <w:rFonts w:ascii="Calibri" w:eastAsia="Times New Roman" w:hAnsi="Calibri" w:cs="Calibri"/>
                <w:color w:val="000000"/>
                <w:sz w:val="20"/>
                <w:szCs w:val="20"/>
                <w:lang w:eastAsia="en-GB"/>
              </w:rPr>
            </w:pPr>
            <w:r w:rsidRPr="00C641DA">
              <w:rPr>
                <w:rFonts w:ascii="Calibri" w:eastAsia="Times New Roman" w:hAnsi="Calibri" w:cs="Calibri"/>
                <w:color w:val="000000"/>
                <w:sz w:val="20"/>
                <w:szCs w:val="20"/>
                <w:lang w:eastAsia="en-GB"/>
              </w:rPr>
              <w:t> </w:t>
            </w:r>
          </w:p>
        </w:tc>
        <w:tc>
          <w:tcPr>
            <w:tcW w:w="287" w:type="pct"/>
            <w:tcBorders>
              <w:top w:val="nil"/>
              <w:left w:val="nil"/>
              <w:bottom w:val="single" w:sz="4" w:space="0" w:color="auto"/>
              <w:right w:val="single" w:sz="4" w:space="0" w:color="auto"/>
            </w:tcBorders>
            <w:shd w:val="clear" w:color="auto" w:fill="auto"/>
            <w:vAlign w:val="bottom"/>
            <w:hideMark/>
          </w:tcPr>
          <w:p w:rsidR="00C641DA" w:rsidRPr="00C641DA" w:rsidRDefault="00C641DA" w:rsidP="00700466">
            <w:pPr>
              <w:spacing w:after="0" w:line="240" w:lineRule="auto"/>
              <w:jc w:val="center"/>
              <w:rPr>
                <w:rFonts w:ascii="Calibri" w:eastAsia="Times New Roman" w:hAnsi="Calibri" w:cs="Calibri"/>
                <w:color w:val="000000"/>
                <w:sz w:val="20"/>
                <w:szCs w:val="20"/>
                <w:lang w:eastAsia="en-GB"/>
              </w:rPr>
            </w:pPr>
            <w:r w:rsidRPr="00C641DA">
              <w:rPr>
                <w:rFonts w:ascii="Calibri" w:eastAsia="Times New Roman" w:hAnsi="Calibri" w:cs="Calibri"/>
                <w:color w:val="000000"/>
                <w:sz w:val="20"/>
                <w:szCs w:val="20"/>
                <w:lang w:eastAsia="en-GB"/>
              </w:rPr>
              <w:t>000's</w:t>
            </w:r>
          </w:p>
        </w:tc>
        <w:tc>
          <w:tcPr>
            <w:tcW w:w="287" w:type="pct"/>
            <w:tcBorders>
              <w:top w:val="nil"/>
              <w:left w:val="nil"/>
              <w:bottom w:val="single" w:sz="4" w:space="0" w:color="auto"/>
              <w:right w:val="single" w:sz="4" w:space="0" w:color="auto"/>
            </w:tcBorders>
            <w:shd w:val="clear" w:color="auto" w:fill="auto"/>
            <w:vAlign w:val="bottom"/>
            <w:hideMark/>
          </w:tcPr>
          <w:p w:rsidR="00C641DA" w:rsidRPr="00C641DA" w:rsidRDefault="00C641DA" w:rsidP="00C641DA">
            <w:pPr>
              <w:spacing w:after="0" w:line="240" w:lineRule="auto"/>
              <w:rPr>
                <w:rFonts w:ascii="Calibri" w:eastAsia="Times New Roman" w:hAnsi="Calibri" w:cs="Calibri"/>
                <w:color w:val="000000"/>
                <w:sz w:val="20"/>
                <w:szCs w:val="20"/>
                <w:lang w:eastAsia="en-GB"/>
              </w:rPr>
            </w:pPr>
            <w:r w:rsidRPr="00C641DA">
              <w:rPr>
                <w:rFonts w:ascii="Calibri" w:eastAsia="Times New Roman" w:hAnsi="Calibri" w:cs="Calibri"/>
                <w:color w:val="000000"/>
                <w:sz w:val="20"/>
                <w:szCs w:val="20"/>
                <w:lang w:eastAsia="en-GB"/>
              </w:rPr>
              <w:t>% of old estimate</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b/>
                <w:bCs/>
                <w:i/>
                <w:iCs/>
                <w:color w:val="000000"/>
                <w:lang w:eastAsia="en-GB"/>
              </w:rPr>
            </w:pPr>
            <w:r w:rsidRPr="00C641DA">
              <w:rPr>
                <w:rFonts w:ascii="Calibri" w:eastAsia="Times New Roman" w:hAnsi="Calibri" w:cs="Calibri"/>
                <w:b/>
                <w:bCs/>
                <w:i/>
                <w:iCs/>
                <w:color w:val="000000"/>
                <w:lang w:eastAsia="en-GB"/>
              </w:rPr>
              <w:t>Total</w:t>
            </w:r>
          </w:p>
        </w:tc>
        <w:tc>
          <w:tcPr>
            <w:tcW w:w="957" w:type="pct"/>
            <w:tcBorders>
              <w:top w:val="nil"/>
              <w:left w:val="nil"/>
              <w:bottom w:val="single" w:sz="4" w:space="0" w:color="auto"/>
              <w:right w:val="single" w:sz="4" w:space="0" w:color="auto"/>
            </w:tcBorders>
            <w:shd w:val="clear" w:color="auto" w:fill="auto"/>
            <w:noWrap/>
            <w:vAlign w:val="center"/>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1252.2</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1028.3</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794.1</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-234.2</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-19</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-458.2</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-37</w:t>
            </w:r>
          </w:p>
        </w:tc>
      </w:tr>
      <w:tr w:rsidR="00C641DA" w:rsidRPr="00C641DA" w:rsidTr="00C641DA">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b/>
                <w:bCs/>
                <w:i/>
                <w:iCs/>
                <w:color w:val="000000"/>
                <w:lang w:eastAsia="en-GB"/>
              </w:rPr>
            </w:pPr>
            <w:r w:rsidRPr="00C641DA">
              <w:rPr>
                <w:rFonts w:ascii="Calibri" w:eastAsia="Times New Roman" w:hAnsi="Calibri" w:cs="Calibri"/>
                <w:b/>
                <w:bCs/>
                <w:i/>
                <w:iCs/>
                <w:color w:val="000000"/>
                <w:lang w:eastAsia="en-GB"/>
              </w:rPr>
              <w:t>Industry/Sector</w:t>
            </w:r>
          </w:p>
        </w:tc>
      </w:tr>
      <w:tr w:rsidR="00C641DA" w:rsidRPr="00C641DA" w:rsidTr="00C641DA">
        <w:trPr>
          <w:trHeight w:val="300"/>
        </w:trPr>
        <w:tc>
          <w:tcPr>
            <w:tcW w:w="7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Agriculture, forestry, fishing</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452.0</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228.1</w:t>
            </w:r>
          </w:p>
        </w:tc>
        <w:tc>
          <w:tcPr>
            <w:tcW w:w="945" w:type="pct"/>
            <w:tcBorders>
              <w:top w:val="single" w:sz="4" w:space="0" w:color="auto"/>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194.2</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-33.9</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-257.9</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-57</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Other sectors</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800.2</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800.2</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599.9</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-200.3</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-25</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-200.3</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-25</w:t>
            </w:r>
          </w:p>
        </w:tc>
      </w:tr>
      <w:tr w:rsidR="00C641DA" w:rsidRPr="00C641DA" w:rsidTr="00C641DA">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b/>
                <w:bCs/>
                <w:i/>
                <w:iCs/>
                <w:color w:val="000000"/>
                <w:lang w:eastAsia="en-GB"/>
              </w:rPr>
            </w:pPr>
            <w:r w:rsidRPr="00C641DA">
              <w:rPr>
                <w:rFonts w:ascii="Calibri" w:eastAsia="Times New Roman" w:hAnsi="Calibri" w:cs="Calibri"/>
                <w:b/>
                <w:bCs/>
                <w:i/>
                <w:iCs/>
                <w:color w:val="000000"/>
                <w:lang w:eastAsia="en-GB"/>
              </w:rPr>
              <w:t>Sex</w:t>
            </w:r>
          </w:p>
        </w:tc>
      </w:tr>
      <w:tr w:rsidR="00C641DA" w:rsidRPr="00C641DA" w:rsidTr="00C641DA">
        <w:trPr>
          <w:trHeight w:val="300"/>
        </w:trPr>
        <w:tc>
          <w:tcPr>
            <w:tcW w:w="7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Males</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621.9</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509.6</w:t>
            </w:r>
          </w:p>
        </w:tc>
        <w:tc>
          <w:tcPr>
            <w:tcW w:w="945" w:type="pct"/>
            <w:tcBorders>
              <w:top w:val="single" w:sz="4" w:space="0" w:color="auto"/>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398.9</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-110.7</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-18</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-223.0</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-36</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Females</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630.3</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518.7</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395.1</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-123.5</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-20</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-235.2</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-37</w:t>
            </w:r>
          </w:p>
        </w:tc>
      </w:tr>
      <w:tr w:rsidR="00C641DA" w:rsidRPr="00C641DA" w:rsidTr="00C641DA">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b/>
                <w:bCs/>
                <w:i/>
                <w:iCs/>
                <w:color w:val="000000"/>
                <w:lang w:eastAsia="en-GB"/>
              </w:rPr>
            </w:pPr>
            <w:r w:rsidRPr="00C641DA">
              <w:rPr>
                <w:rFonts w:ascii="Calibri" w:eastAsia="Times New Roman" w:hAnsi="Calibri" w:cs="Calibri"/>
                <w:b/>
                <w:bCs/>
                <w:i/>
                <w:iCs/>
                <w:color w:val="000000"/>
                <w:lang w:eastAsia="en-GB"/>
              </w:rPr>
              <w:t>Age</w:t>
            </w:r>
          </w:p>
        </w:tc>
      </w:tr>
      <w:tr w:rsidR="00C641DA" w:rsidRPr="00C641DA" w:rsidTr="00C641DA">
        <w:trPr>
          <w:trHeight w:val="300"/>
        </w:trPr>
        <w:tc>
          <w:tcPr>
            <w:tcW w:w="7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15-24 years</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85.1</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70.6</w:t>
            </w:r>
          </w:p>
        </w:tc>
        <w:tc>
          <w:tcPr>
            <w:tcW w:w="945" w:type="pct"/>
            <w:tcBorders>
              <w:top w:val="single" w:sz="4" w:space="0" w:color="auto"/>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54.7</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-15.9</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-19</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-30.4</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-36</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25-54 years</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879.6</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765.6</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573.9</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-191.7</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-22</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-305.7</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-35</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55-64 years</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221.3</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167.5</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142.3</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-25.2</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-11</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-78.9</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-36</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65+</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66.3</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24.6</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23.1</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-1.5</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-43.2</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-65</w:t>
            </w:r>
          </w:p>
        </w:tc>
      </w:tr>
      <w:tr w:rsidR="00C641DA" w:rsidRPr="00C641DA" w:rsidTr="00C641DA">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b/>
                <w:bCs/>
                <w:i/>
                <w:iCs/>
                <w:color w:val="000000"/>
                <w:lang w:eastAsia="en-GB"/>
              </w:rPr>
            </w:pPr>
            <w:r w:rsidRPr="00C641DA">
              <w:rPr>
                <w:rFonts w:ascii="Calibri" w:eastAsia="Times New Roman" w:hAnsi="Calibri" w:cs="Calibri"/>
                <w:b/>
                <w:bCs/>
                <w:i/>
                <w:iCs/>
                <w:color w:val="000000"/>
                <w:lang w:eastAsia="en-GB"/>
              </w:rPr>
              <w:t>Urban/Rural</w:t>
            </w:r>
          </w:p>
        </w:tc>
      </w:tr>
      <w:tr w:rsidR="00C641DA" w:rsidRPr="00C641DA" w:rsidTr="00C641DA">
        <w:trPr>
          <w:trHeight w:val="300"/>
        </w:trPr>
        <w:tc>
          <w:tcPr>
            <w:tcW w:w="7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Urban</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536.0</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522.8</w:t>
            </w:r>
          </w:p>
        </w:tc>
        <w:tc>
          <w:tcPr>
            <w:tcW w:w="945" w:type="pct"/>
            <w:tcBorders>
              <w:top w:val="single" w:sz="4" w:space="0" w:color="auto"/>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371.6</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-151.2</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-28</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-164.4</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-31</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Rural</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716.3</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505.4</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422.5</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-83.0</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-12</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-293.8</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-41</w:t>
            </w:r>
          </w:p>
        </w:tc>
      </w:tr>
      <w:tr w:rsidR="00C641DA" w:rsidRPr="00C641DA" w:rsidTr="00C641DA">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b/>
                <w:bCs/>
                <w:i/>
                <w:iCs/>
                <w:color w:val="000000"/>
                <w:lang w:eastAsia="en-GB"/>
              </w:rPr>
            </w:pPr>
            <w:r w:rsidRPr="00C641DA">
              <w:rPr>
                <w:rFonts w:ascii="Calibri" w:eastAsia="Times New Roman" w:hAnsi="Calibri" w:cs="Calibri"/>
                <w:b/>
                <w:bCs/>
                <w:i/>
                <w:iCs/>
                <w:color w:val="000000"/>
                <w:lang w:eastAsia="en-GB"/>
              </w:rPr>
              <w:t>Zone</w:t>
            </w:r>
          </w:p>
        </w:tc>
      </w:tr>
      <w:tr w:rsidR="00C641DA" w:rsidRPr="00C641DA" w:rsidTr="00C641DA">
        <w:trPr>
          <w:trHeight w:val="300"/>
        </w:trPr>
        <w:tc>
          <w:tcPr>
            <w:tcW w:w="7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North</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371.2</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311.2</w:t>
            </w:r>
          </w:p>
        </w:tc>
        <w:tc>
          <w:tcPr>
            <w:tcW w:w="945" w:type="pct"/>
            <w:tcBorders>
              <w:top w:val="single" w:sz="4" w:space="0" w:color="auto"/>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236.0</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-75.2</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-20</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-135.2</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-36</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Centre</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359.3</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236.2</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188.1</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-48.1</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-13</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-171.3</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-48</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South</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202.5</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165.8</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125.4</w:t>
            </w:r>
          </w:p>
        </w:tc>
        <w:tc>
          <w:tcPr>
            <w:tcW w:w="80" w:type="pct"/>
            <w:tcBorders>
              <w:top w:val="nil"/>
              <w:left w:val="single" w:sz="4" w:space="0" w:color="auto"/>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-40.4</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-20</w:t>
            </w:r>
          </w:p>
        </w:tc>
        <w:tc>
          <w:tcPr>
            <w:tcW w:w="80" w:type="pct"/>
            <w:tcBorders>
              <w:top w:val="nil"/>
              <w:left w:val="nil"/>
              <w:bottom w:val="nil"/>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-77.0</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-38</w:t>
            </w:r>
          </w:p>
        </w:tc>
      </w:tr>
      <w:tr w:rsidR="00C641DA" w:rsidRPr="00C641DA" w:rsidTr="00C641DA">
        <w:trPr>
          <w:trHeight w:val="300"/>
        </w:trPr>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Municipality Chisinau</w:t>
            </w:r>
          </w:p>
        </w:tc>
        <w:tc>
          <w:tcPr>
            <w:tcW w:w="95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319.2</w:t>
            </w:r>
          </w:p>
        </w:tc>
        <w:tc>
          <w:tcPr>
            <w:tcW w:w="878"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315.1</w:t>
            </w:r>
          </w:p>
        </w:tc>
        <w:tc>
          <w:tcPr>
            <w:tcW w:w="945" w:type="pct"/>
            <w:tcBorders>
              <w:top w:val="nil"/>
              <w:left w:val="nil"/>
              <w:bottom w:val="single" w:sz="4" w:space="0" w:color="auto"/>
              <w:right w:val="nil"/>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244.6</w:t>
            </w:r>
          </w:p>
        </w:tc>
        <w:tc>
          <w:tcPr>
            <w:tcW w:w="80" w:type="pct"/>
            <w:tcBorders>
              <w:top w:val="nil"/>
              <w:left w:val="single" w:sz="4" w:space="0" w:color="auto"/>
              <w:bottom w:val="single" w:sz="4" w:space="0" w:color="auto"/>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443"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-70.5</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-22</w:t>
            </w:r>
          </w:p>
        </w:tc>
        <w:tc>
          <w:tcPr>
            <w:tcW w:w="80" w:type="pct"/>
            <w:tcBorders>
              <w:top w:val="nil"/>
              <w:left w:val="nil"/>
              <w:bottom w:val="single" w:sz="4" w:space="0" w:color="auto"/>
              <w:right w:val="single" w:sz="4" w:space="0" w:color="auto"/>
            </w:tcBorders>
            <w:shd w:val="clear" w:color="000000" w:fill="F2F2F2"/>
            <w:noWrap/>
            <w:vAlign w:val="bottom"/>
            <w:hideMark/>
          </w:tcPr>
          <w:p w:rsidR="00C641DA" w:rsidRPr="00C641DA" w:rsidRDefault="00C641DA" w:rsidP="00C641DA">
            <w:pPr>
              <w:spacing w:after="0" w:line="240" w:lineRule="auto"/>
              <w:rPr>
                <w:rFonts w:ascii="Calibri" w:eastAsia="Times New Roman" w:hAnsi="Calibri" w:cs="Calibri"/>
                <w:color w:val="000000"/>
                <w:lang w:eastAsia="en-GB"/>
              </w:rPr>
            </w:pPr>
            <w:r w:rsidRPr="00C641DA">
              <w:rPr>
                <w:rFonts w:ascii="Calibri" w:eastAsia="Times New Roman" w:hAnsi="Calibri" w:cs="Calibri"/>
                <w:color w:val="000000"/>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-74.6</w:t>
            </w:r>
          </w:p>
        </w:tc>
        <w:tc>
          <w:tcPr>
            <w:tcW w:w="287" w:type="pct"/>
            <w:tcBorders>
              <w:top w:val="nil"/>
              <w:left w:val="nil"/>
              <w:bottom w:val="single" w:sz="4" w:space="0" w:color="auto"/>
              <w:right w:val="single" w:sz="4" w:space="0" w:color="auto"/>
            </w:tcBorders>
            <w:shd w:val="clear" w:color="auto" w:fill="auto"/>
            <w:noWrap/>
            <w:vAlign w:val="bottom"/>
            <w:hideMark/>
          </w:tcPr>
          <w:p w:rsidR="00C641DA" w:rsidRPr="00C641DA" w:rsidRDefault="00C641DA" w:rsidP="00C641DA">
            <w:pPr>
              <w:spacing w:after="0" w:line="240" w:lineRule="auto"/>
              <w:jc w:val="right"/>
              <w:rPr>
                <w:rFonts w:ascii="Calibri" w:eastAsia="Times New Roman" w:hAnsi="Calibri" w:cs="Calibri"/>
                <w:color w:val="000000"/>
                <w:lang w:eastAsia="en-GB"/>
              </w:rPr>
            </w:pPr>
            <w:r w:rsidRPr="00C641DA">
              <w:rPr>
                <w:rFonts w:ascii="Calibri" w:eastAsia="Times New Roman" w:hAnsi="Calibri" w:cs="Calibri"/>
                <w:color w:val="000000"/>
                <w:lang w:eastAsia="en-GB"/>
              </w:rPr>
              <w:t>-23</w:t>
            </w:r>
          </w:p>
        </w:tc>
      </w:tr>
    </w:tbl>
    <w:p w:rsidR="00C641DA" w:rsidRDefault="00C641DA" w:rsidP="001D71EF">
      <w:pPr>
        <w:jc w:val="both"/>
      </w:pPr>
    </w:p>
    <w:p w:rsidR="00C641DA" w:rsidRDefault="00C641DA" w:rsidP="001D71EF">
      <w:pPr>
        <w:jc w:val="both"/>
      </w:pPr>
    </w:p>
    <w:p w:rsidR="00C641DA" w:rsidRDefault="00C641DA" w:rsidP="001D71EF">
      <w:pPr>
        <w:jc w:val="both"/>
        <w:sectPr w:rsidR="00C641DA" w:rsidSect="00C641DA">
          <w:pgSz w:w="16838" w:h="11906" w:orient="landscape"/>
          <w:pgMar w:top="1440" w:right="1440" w:bottom="1440" w:left="1440" w:header="708" w:footer="708" w:gutter="0"/>
          <w:cols w:space="708"/>
          <w:docGrid w:linePitch="360"/>
        </w:sectPr>
      </w:pPr>
    </w:p>
    <w:p w:rsidR="00913C4D" w:rsidRDefault="00913C4D" w:rsidP="00B80797">
      <w:pPr>
        <w:jc w:val="both"/>
        <w:rPr>
          <w:i/>
        </w:rPr>
      </w:pPr>
      <w:r>
        <w:rPr>
          <w:i/>
        </w:rPr>
        <w:lastRenderedPageBreak/>
        <w:t>Employment to population ratio</w:t>
      </w:r>
    </w:p>
    <w:p w:rsidR="004839E6" w:rsidRDefault="00913C4D" w:rsidP="00B80797">
      <w:pPr>
        <w:jc w:val="both"/>
      </w:pPr>
      <w:r>
        <w:t>The reduction in the estimated population inevitably caused a reduction in the estimates of the number of persons employed (or in other statuses). However, it is not certain that th</w:t>
      </w:r>
      <w:r w:rsidR="004839E6">
        <w:t>is</w:t>
      </w:r>
      <w:r>
        <w:t xml:space="preserve"> would cause a reduction in rates or ratios, as both the numerator and denominator are reduced</w:t>
      </w:r>
      <w:r w:rsidR="001D7819">
        <w:t>. This is</w:t>
      </w:r>
      <w:r w:rsidR="006B43AF">
        <w:t xml:space="preserve"> unlike the change in the statistical standards </w:t>
      </w:r>
      <w:r w:rsidR="00D85CD1">
        <w:t>that</w:t>
      </w:r>
      <w:r w:rsidR="006B43AF">
        <w:t xml:space="preserve"> only impacted the numerator</w:t>
      </w:r>
      <w:r>
        <w:t>. If the reduction in both</w:t>
      </w:r>
      <w:r w:rsidR="006B43AF">
        <w:t xml:space="preserve"> the numerator and denominator</w:t>
      </w:r>
      <w:r>
        <w:t xml:space="preserve"> is in proportion</w:t>
      </w:r>
      <w:r w:rsidR="00D16222">
        <w:t xml:space="preserve"> (for example both reduce by 20%)</w:t>
      </w:r>
      <w:r>
        <w:t xml:space="preserve"> then the rate, such as the employment</w:t>
      </w:r>
      <w:r w:rsidR="001D7819">
        <w:t>-</w:t>
      </w:r>
      <w:r>
        <w:t>to</w:t>
      </w:r>
      <w:r w:rsidR="001D7819">
        <w:t>-</w:t>
      </w:r>
      <w:r>
        <w:t xml:space="preserve">population ratio or unemployment rate would not change at all. The impact on those indicators will therefore </w:t>
      </w:r>
      <w:r w:rsidR="00D16222">
        <w:t xml:space="preserve">mainly </w:t>
      </w:r>
      <w:r>
        <w:t xml:space="preserve">depend on how the distribution of the population changes. For example if the new population estimates include a larger proportion of people aged </w:t>
      </w:r>
      <w:r w:rsidR="006B43AF">
        <w:t>55</w:t>
      </w:r>
      <w:r>
        <w:t>-</w:t>
      </w:r>
      <w:r w:rsidR="006B43AF">
        <w:t>64</w:t>
      </w:r>
      <w:r>
        <w:t xml:space="preserve"> and those people have a higher than average employment</w:t>
      </w:r>
      <w:r w:rsidR="001D7819">
        <w:t>-</w:t>
      </w:r>
      <w:r w:rsidR="006B43AF">
        <w:t>to</w:t>
      </w:r>
      <w:r w:rsidR="001D7819">
        <w:t>-</w:t>
      </w:r>
      <w:r w:rsidR="006B43AF">
        <w:t>population ratio</w:t>
      </w:r>
      <w:r>
        <w:t xml:space="preserve">, this would cause the new </w:t>
      </w:r>
      <w:r w:rsidR="006B43AF">
        <w:t>employment to population ratio</w:t>
      </w:r>
      <w:r>
        <w:t xml:space="preserve"> to be higher than the old one</w:t>
      </w:r>
      <w:r w:rsidR="004839E6">
        <w:t>, all other things being equal.</w:t>
      </w:r>
    </w:p>
    <w:p w:rsidR="000E7F54" w:rsidRDefault="004839E6" w:rsidP="00B80797">
      <w:pPr>
        <w:jc w:val="both"/>
      </w:pPr>
      <w:r>
        <w:t>Using the data from 2018 we can see that for all population subgroups the new population estimates created a higher employment</w:t>
      </w:r>
      <w:r w:rsidR="001D7819">
        <w:t>-</w:t>
      </w:r>
      <w:r>
        <w:t>to</w:t>
      </w:r>
      <w:r w:rsidR="001D7819">
        <w:t>-</w:t>
      </w:r>
      <w:r>
        <w:t>population ratio, but the level of difference is relatively small</w:t>
      </w:r>
      <w:r w:rsidR="000E7F54">
        <w:t>. We can interpret this as meaning that the change in distribution of the population between the old and new population estimates meant that groups with higher employment</w:t>
      </w:r>
      <w:r w:rsidR="001D7819">
        <w:t>-</w:t>
      </w:r>
      <w:r w:rsidR="000E7F54">
        <w:t>to</w:t>
      </w:r>
      <w:r w:rsidR="001D7819">
        <w:t>-</w:t>
      </w:r>
      <w:r w:rsidR="000E7F54">
        <w:t xml:space="preserve">population ratios now make up a relatively larger part of the population. However, the redistribution was not very substantial meaning the impact was relatively low (see table 6). </w:t>
      </w:r>
    </w:p>
    <w:p w:rsidR="000E7F54" w:rsidRDefault="000E7F54" w:rsidP="00B80797">
      <w:pPr>
        <w:jc w:val="both"/>
      </w:pPr>
      <w:r>
        <w:t>The change in the statistical standards had a much greater impact on the employment</w:t>
      </w:r>
      <w:r w:rsidR="001D7819">
        <w:t>-</w:t>
      </w:r>
      <w:r>
        <w:t>to</w:t>
      </w:r>
      <w:r w:rsidR="001D7819">
        <w:t>-</w:t>
      </w:r>
      <w:r>
        <w:t>population ratio as shown in</w:t>
      </w:r>
      <w:r w:rsidR="006B43AF">
        <w:t xml:space="preserve"> figure 7, in this case highlighting the difference between urban and rural areas in particular. For rural areas the change in the statistical standards had a major impact (reduction of 12.6 percentage points) while the change in population definition and estimates had a relatively minor impact. In urban areas both changes had a relatively low impact on the employment</w:t>
      </w:r>
      <w:r w:rsidR="001D7819">
        <w:t>-</w:t>
      </w:r>
      <w:r w:rsidR="006B43AF">
        <w:t>to</w:t>
      </w:r>
      <w:r w:rsidR="001D7819">
        <w:t>-</w:t>
      </w:r>
      <w:r w:rsidR="006B43AF">
        <w:t>population ratio meaning the new ration overall is 1.1 percentage points lower than the old ratio. The overall national employment to population ratio was 6.2% lower once all the changes were applied, driven almost fully by the change in the statistical standards.</w:t>
      </w:r>
    </w:p>
    <w:p w:rsidR="000E7F54" w:rsidRDefault="000E7F54" w:rsidP="00B80797">
      <w:pPr>
        <w:jc w:val="both"/>
      </w:pPr>
    </w:p>
    <w:p w:rsidR="000E7F54" w:rsidRDefault="006B43AF" w:rsidP="00B80797">
      <w:pPr>
        <w:jc w:val="both"/>
        <w:sectPr w:rsidR="000E7F54" w:rsidSect="00C641DA">
          <w:pgSz w:w="11906" w:h="16838"/>
          <w:pgMar w:top="1440" w:right="1440" w:bottom="1440" w:left="1440" w:header="708" w:footer="708" w:gutter="0"/>
          <w:cols w:space="708"/>
          <w:docGrid w:linePitch="360"/>
        </w:sectPr>
      </w:pPr>
      <w:r>
        <w:rPr>
          <w:noProof/>
          <w:lang w:val="ru-RU" w:eastAsia="ru-RU"/>
        </w:rPr>
        <w:drawing>
          <wp:inline distT="0" distB="0" distL="0" distR="0">
            <wp:extent cx="5248275" cy="34290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14218" w:type="dxa"/>
        <w:tblLook w:val="04A0"/>
      </w:tblPr>
      <w:tblGrid>
        <w:gridCol w:w="2837"/>
        <w:gridCol w:w="3086"/>
        <w:gridCol w:w="3176"/>
        <w:gridCol w:w="1849"/>
        <w:gridCol w:w="279"/>
        <w:gridCol w:w="1386"/>
        <w:gridCol w:w="279"/>
        <w:gridCol w:w="1326"/>
      </w:tblGrid>
      <w:tr w:rsidR="004839E6" w:rsidRPr="004839E6" w:rsidTr="004839E6">
        <w:trPr>
          <w:trHeight w:val="326"/>
        </w:trPr>
        <w:tc>
          <w:tcPr>
            <w:tcW w:w="9099" w:type="dxa"/>
            <w:gridSpan w:val="3"/>
            <w:tcBorders>
              <w:top w:val="nil"/>
              <w:left w:val="nil"/>
              <w:bottom w:val="nil"/>
              <w:right w:val="nil"/>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b/>
                <w:color w:val="000000"/>
                <w:lang w:eastAsia="en-GB"/>
              </w:rPr>
            </w:pPr>
            <w:r w:rsidRPr="004839E6">
              <w:rPr>
                <w:rFonts w:ascii="Calibri" w:eastAsia="Times New Roman" w:hAnsi="Calibri" w:cs="Calibri"/>
                <w:b/>
                <w:color w:val="000000"/>
                <w:lang w:eastAsia="en-GB"/>
              </w:rPr>
              <w:lastRenderedPageBreak/>
              <w:t>Table 6 - Impact of changes on employment to population ratio, 2018</w:t>
            </w:r>
          </w:p>
        </w:tc>
        <w:tc>
          <w:tcPr>
            <w:tcW w:w="1849" w:type="dxa"/>
            <w:tcBorders>
              <w:top w:val="nil"/>
              <w:left w:val="nil"/>
              <w:bottom w:val="nil"/>
              <w:right w:val="nil"/>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p>
        </w:tc>
        <w:tc>
          <w:tcPr>
            <w:tcW w:w="279" w:type="dxa"/>
            <w:tcBorders>
              <w:top w:val="nil"/>
              <w:left w:val="nil"/>
              <w:bottom w:val="nil"/>
              <w:right w:val="nil"/>
            </w:tcBorders>
            <w:shd w:val="clear" w:color="auto" w:fill="auto"/>
            <w:noWrap/>
            <w:vAlign w:val="bottom"/>
            <w:hideMark/>
          </w:tcPr>
          <w:p w:rsidR="004839E6" w:rsidRPr="004839E6" w:rsidRDefault="004839E6" w:rsidP="004839E6">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rsidR="004839E6" w:rsidRPr="004839E6" w:rsidRDefault="004839E6" w:rsidP="004839E6">
            <w:pPr>
              <w:spacing w:after="0" w:line="240" w:lineRule="auto"/>
              <w:rPr>
                <w:rFonts w:ascii="Times New Roman" w:eastAsia="Times New Roman" w:hAnsi="Times New Roman" w:cs="Times New Roman"/>
                <w:sz w:val="20"/>
                <w:szCs w:val="20"/>
                <w:lang w:eastAsia="en-GB"/>
              </w:rPr>
            </w:pPr>
          </w:p>
        </w:tc>
        <w:tc>
          <w:tcPr>
            <w:tcW w:w="279" w:type="dxa"/>
            <w:tcBorders>
              <w:top w:val="nil"/>
              <w:left w:val="nil"/>
              <w:bottom w:val="nil"/>
              <w:right w:val="nil"/>
            </w:tcBorders>
            <w:shd w:val="clear" w:color="auto" w:fill="auto"/>
            <w:noWrap/>
            <w:vAlign w:val="bottom"/>
            <w:hideMark/>
          </w:tcPr>
          <w:p w:rsidR="004839E6" w:rsidRPr="004839E6" w:rsidRDefault="004839E6" w:rsidP="004839E6">
            <w:pPr>
              <w:spacing w:after="0" w:line="240" w:lineRule="auto"/>
              <w:rPr>
                <w:rFonts w:ascii="Times New Roman" w:eastAsia="Times New Roman" w:hAnsi="Times New Roman" w:cs="Times New Roman"/>
                <w:sz w:val="20"/>
                <w:szCs w:val="20"/>
                <w:lang w:eastAsia="en-GB"/>
              </w:rPr>
            </w:pPr>
          </w:p>
        </w:tc>
        <w:tc>
          <w:tcPr>
            <w:tcW w:w="1323" w:type="dxa"/>
            <w:tcBorders>
              <w:top w:val="nil"/>
              <w:left w:val="nil"/>
              <w:bottom w:val="nil"/>
              <w:right w:val="nil"/>
            </w:tcBorders>
            <w:shd w:val="clear" w:color="auto" w:fill="auto"/>
            <w:noWrap/>
            <w:vAlign w:val="bottom"/>
            <w:hideMark/>
          </w:tcPr>
          <w:p w:rsidR="004839E6" w:rsidRPr="004839E6" w:rsidRDefault="004839E6" w:rsidP="004839E6">
            <w:pPr>
              <w:spacing w:after="0" w:line="240" w:lineRule="auto"/>
              <w:rPr>
                <w:rFonts w:ascii="Times New Roman" w:eastAsia="Times New Roman" w:hAnsi="Times New Roman" w:cs="Times New Roman"/>
                <w:sz w:val="20"/>
                <w:szCs w:val="20"/>
                <w:lang w:eastAsia="en-GB"/>
              </w:rPr>
            </w:pPr>
          </w:p>
        </w:tc>
      </w:tr>
      <w:tr w:rsidR="004839E6" w:rsidRPr="004839E6" w:rsidTr="004839E6">
        <w:trPr>
          <w:trHeight w:val="326"/>
        </w:trPr>
        <w:tc>
          <w:tcPr>
            <w:tcW w:w="28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811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4839E6" w:rsidRPr="004839E6" w:rsidRDefault="004839E6" w:rsidP="004839E6">
            <w:pPr>
              <w:spacing w:after="0" w:line="240" w:lineRule="auto"/>
              <w:jc w:val="center"/>
              <w:rPr>
                <w:rFonts w:ascii="Calibri" w:eastAsia="Times New Roman" w:hAnsi="Calibri" w:cs="Calibri"/>
                <w:b/>
                <w:bCs/>
                <w:color w:val="000000"/>
                <w:lang w:eastAsia="en-GB"/>
              </w:rPr>
            </w:pPr>
            <w:r w:rsidRPr="004839E6">
              <w:rPr>
                <w:rFonts w:ascii="Calibri" w:eastAsia="Times New Roman" w:hAnsi="Calibri" w:cs="Calibri"/>
                <w:b/>
                <w:bCs/>
                <w:color w:val="000000"/>
                <w:lang w:eastAsia="en-GB"/>
              </w:rPr>
              <w:t>2018 average</w:t>
            </w:r>
          </w:p>
        </w:tc>
        <w:tc>
          <w:tcPr>
            <w:tcW w:w="279" w:type="dxa"/>
            <w:tcBorders>
              <w:top w:val="single" w:sz="4" w:space="0" w:color="auto"/>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jc w:val="center"/>
              <w:rPr>
                <w:rFonts w:ascii="Calibri" w:eastAsia="Times New Roman" w:hAnsi="Calibri" w:cs="Calibri"/>
                <w:b/>
                <w:bCs/>
                <w:color w:val="000000"/>
                <w:lang w:eastAsia="en-GB"/>
              </w:rPr>
            </w:pPr>
            <w:r w:rsidRPr="004839E6">
              <w:rPr>
                <w:rFonts w:ascii="Calibri" w:eastAsia="Times New Roman" w:hAnsi="Calibri" w:cs="Calibri"/>
                <w:b/>
                <w:bCs/>
                <w:color w:val="000000"/>
                <w:lang w:eastAsia="en-GB"/>
              </w:rPr>
              <w:t> </w:t>
            </w:r>
          </w:p>
        </w:tc>
        <w:tc>
          <w:tcPr>
            <w:tcW w:w="1386" w:type="dxa"/>
            <w:tcBorders>
              <w:top w:val="single" w:sz="4" w:space="0" w:color="auto"/>
              <w:left w:val="nil"/>
              <w:bottom w:val="single" w:sz="4" w:space="0" w:color="auto"/>
              <w:right w:val="single" w:sz="4" w:space="0" w:color="auto"/>
            </w:tcBorders>
            <w:shd w:val="clear" w:color="000000" w:fill="D9D9D9"/>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279" w:type="dxa"/>
            <w:tcBorders>
              <w:top w:val="single" w:sz="4" w:space="0" w:color="auto"/>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single" w:sz="4" w:space="0" w:color="auto"/>
              <w:left w:val="nil"/>
              <w:bottom w:val="single" w:sz="4" w:space="0" w:color="auto"/>
              <w:right w:val="single" w:sz="4" w:space="0" w:color="auto"/>
            </w:tcBorders>
            <w:shd w:val="clear" w:color="000000" w:fill="D9D9D9"/>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r>
      <w:tr w:rsidR="004839E6" w:rsidRPr="004839E6" w:rsidTr="004839E6">
        <w:trPr>
          <w:trHeight w:val="980"/>
        </w:trPr>
        <w:tc>
          <w:tcPr>
            <w:tcW w:w="2837" w:type="dxa"/>
            <w:tcBorders>
              <w:top w:val="nil"/>
              <w:left w:val="single" w:sz="4" w:space="0" w:color="auto"/>
              <w:bottom w:val="single" w:sz="4" w:space="0" w:color="auto"/>
              <w:right w:val="single" w:sz="4" w:space="0" w:color="auto"/>
            </w:tcBorders>
            <w:shd w:val="clear" w:color="000000" w:fill="D9D9D9"/>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3086" w:type="dxa"/>
            <w:tcBorders>
              <w:top w:val="nil"/>
              <w:left w:val="nil"/>
              <w:bottom w:val="single" w:sz="4" w:space="0" w:color="auto"/>
              <w:right w:val="single" w:sz="4" w:space="0" w:color="auto"/>
            </w:tcBorders>
            <w:shd w:val="clear" w:color="auto" w:fill="auto"/>
            <w:vAlign w:val="bottom"/>
            <w:hideMark/>
          </w:tcPr>
          <w:p w:rsidR="004839E6" w:rsidRPr="004839E6" w:rsidRDefault="004839E6" w:rsidP="004839E6">
            <w:pPr>
              <w:spacing w:after="0" w:line="240" w:lineRule="auto"/>
              <w:rPr>
                <w:rFonts w:ascii="Calibri" w:eastAsia="Times New Roman" w:hAnsi="Calibri" w:cs="Calibri"/>
                <w:b/>
                <w:bCs/>
                <w:color w:val="000000"/>
                <w:lang w:eastAsia="en-GB"/>
              </w:rPr>
            </w:pPr>
            <w:r w:rsidRPr="004839E6">
              <w:rPr>
                <w:rFonts w:ascii="Calibri" w:eastAsia="Times New Roman" w:hAnsi="Calibri" w:cs="Calibri"/>
                <w:b/>
                <w:bCs/>
                <w:color w:val="000000"/>
                <w:lang w:eastAsia="en-GB"/>
              </w:rPr>
              <w:t>Old standards, stable population (old estimate)</w:t>
            </w:r>
          </w:p>
        </w:tc>
        <w:tc>
          <w:tcPr>
            <w:tcW w:w="3174" w:type="dxa"/>
            <w:tcBorders>
              <w:top w:val="nil"/>
              <w:left w:val="nil"/>
              <w:bottom w:val="single" w:sz="4" w:space="0" w:color="auto"/>
              <w:right w:val="single" w:sz="4" w:space="0" w:color="auto"/>
            </w:tcBorders>
            <w:shd w:val="clear" w:color="auto" w:fill="auto"/>
            <w:vAlign w:val="bottom"/>
            <w:hideMark/>
          </w:tcPr>
          <w:p w:rsidR="004839E6" w:rsidRPr="004839E6" w:rsidRDefault="004839E6" w:rsidP="004839E6">
            <w:pPr>
              <w:spacing w:after="0" w:line="240" w:lineRule="auto"/>
              <w:rPr>
                <w:rFonts w:ascii="Calibri" w:eastAsia="Times New Roman" w:hAnsi="Calibri" w:cs="Calibri"/>
                <w:b/>
                <w:bCs/>
                <w:color w:val="000000"/>
                <w:lang w:eastAsia="en-GB"/>
              </w:rPr>
            </w:pPr>
            <w:r w:rsidRPr="004839E6">
              <w:rPr>
                <w:rFonts w:ascii="Calibri" w:eastAsia="Times New Roman" w:hAnsi="Calibri" w:cs="Calibri"/>
                <w:b/>
                <w:bCs/>
                <w:color w:val="000000"/>
                <w:lang w:eastAsia="en-GB"/>
              </w:rPr>
              <w:t>New Standards, stable population</w:t>
            </w:r>
          </w:p>
        </w:tc>
        <w:tc>
          <w:tcPr>
            <w:tcW w:w="1849" w:type="dxa"/>
            <w:tcBorders>
              <w:top w:val="nil"/>
              <w:left w:val="nil"/>
              <w:bottom w:val="single" w:sz="4" w:space="0" w:color="auto"/>
              <w:right w:val="nil"/>
            </w:tcBorders>
            <w:shd w:val="clear" w:color="auto" w:fill="auto"/>
            <w:vAlign w:val="bottom"/>
            <w:hideMark/>
          </w:tcPr>
          <w:p w:rsidR="004839E6" w:rsidRPr="004839E6" w:rsidRDefault="004839E6" w:rsidP="004839E6">
            <w:pPr>
              <w:spacing w:after="0" w:line="240" w:lineRule="auto"/>
              <w:rPr>
                <w:rFonts w:ascii="Calibri" w:eastAsia="Times New Roman" w:hAnsi="Calibri" w:cs="Calibri"/>
                <w:b/>
                <w:bCs/>
                <w:color w:val="000000"/>
                <w:lang w:eastAsia="en-GB"/>
              </w:rPr>
            </w:pPr>
            <w:r w:rsidRPr="004839E6">
              <w:rPr>
                <w:rFonts w:ascii="Calibri" w:eastAsia="Times New Roman" w:hAnsi="Calibri" w:cs="Calibri"/>
                <w:b/>
                <w:bCs/>
                <w:color w:val="000000"/>
                <w:lang w:eastAsia="en-GB"/>
              </w:rPr>
              <w:t>New Standards, new population (new estimate)</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b/>
                <w:bCs/>
                <w:color w:val="000000"/>
                <w:lang w:eastAsia="en-GB"/>
              </w:rPr>
            </w:pPr>
            <w:r w:rsidRPr="004839E6">
              <w:rPr>
                <w:rFonts w:ascii="Calibri" w:eastAsia="Times New Roman" w:hAnsi="Calibri" w:cs="Calibri"/>
                <w:b/>
                <w:bCs/>
                <w:color w:val="000000"/>
                <w:lang w:eastAsia="en-GB"/>
              </w:rPr>
              <w:t> </w:t>
            </w:r>
          </w:p>
        </w:tc>
        <w:tc>
          <w:tcPr>
            <w:tcW w:w="1386" w:type="dxa"/>
            <w:tcBorders>
              <w:top w:val="nil"/>
              <w:left w:val="nil"/>
              <w:bottom w:val="single" w:sz="4" w:space="0" w:color="auto"/>
              <w:right w:val="single" w:sz="4" w:space="0" w:color="auto"/>
            </w:tcBorders>
            <w:shd w:val="clear" w:color="auto" w:fill="auto"/>
            <w:vAlign w:val="bottom"/>
            <w:hideMark/>
          </w:tcPr>
          <w:p w:rsidR="004839E6" w:rsidRPr="004839E6" w:rsidRDefault="004839E6" w:rsidP="004839E6">
            <w:pPr>
              <w:spacing w:after="0" w:line="240" w:lineRule="auto"/>
              <w:jc w:val="center"/>
              <w:rPr>
                <w:rFonts w:ascii="Calibri" w:eastAsia="Times New Roman" w:hAnsi="Calibri" w:cs="Calibri"/>
                <w:color w:val="000000"/>
                <w:lang w:eastAsia="en-GB"/>
              </w:rPr>
            </w:pPr>
            <w:r w:rsidRPr="004839E6">
              <w:rPr>
                <w:rFonts w:ascii="Calibri" w:eastAsia="Times New Roman" w:hAnsi="Calibri" w:cs="Calibri"/>
                <w:color w:val="000000"/>
                <w:lang w:eastAsia="en-GB"/>
              </w:rPr>
              <w:t>Change due to population estimates</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vAlign w:val="bottom"/>
            <w:hideMark/>
          </w:tcPr>
          <w:p w:rsidR="004839E6" w:rsidRPr="004839E6" w:rsidRDefault="004839E6" w:rsidP="004839E6">
            <w:pPr>
              <w:spacing w:after="0" w:line="240" w:lineRule="auto"/>
              <w:jc w:val="center"/>
              <w:rPr>
                <w:rFonts w:ascii="Calibri" w:eastAsia="Times New Roman" w:hAnsi="Calibri" w:cs="Calibri"/>
                <w:color w:val="000000"/>
                <w:lang w:eastAsia="en-GB"/>
              </w:rPr>
            </w:pPr>
            <w:r w:rsidRPr="004839E6">
              <w:rPr>
                <w:rFonts w:ascii="Calibri" w:eastAsia="Times New Roman" w:hAnsi="Calibri" w:cs="Calibri"/>
                <w:color w:val="000000"/>
                <w:lang w:eastAsia="en-GB"/>
              </w:rPr>
              <w:t>Total change (old to new estimate)</w:t>
            </w:r>
          </w:p>
        </w:tc>
      </w:tr>
      <w:tr w:rsidR="004839E6" w:rsidRPr="004839E6" w:rsidTr="004839E6">
        <w:trPr>
          <w:trHeight w:val="57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8110" w:type="dxa"/>
            <w:gridSpan w:val="3"/>
            <w:tcBorders>
              <w:top w:val="single" w:sz="4" w:space="0" w:color="auto"/>
              <w:left w:val="nil"/>
              <w:bottom w:val="single" w:sz="4" w:space="0" w:color="auto"/>
              <w:right w:val="nil"/>
            </w:tcBorders>
            <w:shd w:val="clear" w:color="auto" w:fill="auto"/>
            <w:noWrap/>
            <w:vAlign w:val="center"/>
            <w:hideMark/>
          </w:tcPr>
          <w:p w:rsidR="004839E6" w:rsidRPr="004839E6" w:rsidRDefault="004839E6" w:rsidP="004839E6">
            <w:pPr>
              <w:spacing w:after="0" w:line="240" w:lineRule="auto"/>
              <w:jc w:val="center"/>
              <w:rPr>
                <w:rFonts w:ascii="Calibri" w:eastAsia="Times New Roman" w:hAnsi="Calibri" w:cs="Calibri"/>
                <w:color w:val="000000"/>
                <w:lang w:eastAsia="en-GB"/>
              </w:rPr>
            </w:pPr>
            <w:r w:rsidRPr="004839E6">
              <w:rPr>
                <w:rFonts w:ascii="Calibri" w:eastAsia="Times New Roman" w:hAnsi="Calibri" w:cs="Calibri"/>
                <w:color w:val="000000"/>
                <w:lang w:eastAsia="en-GB"/>
              </w:rPr>
              <w:t>Persons 000's</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jc w:val="center"/>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vAlign w:val="bottom"/>
            <w:hideMark/>
          </w:tcPr>
          <w:p w:rsidR="004839E6" w:rsidRPr="004839E6" w:rsidRDefault="004839E6" w:rsidP="004839E6">
            <w:pPr>
              <w:spacing w:after="0" w:line="240" w:lineRule="auto"/>
              <w:jc w:val="center"/>
              <w:rPr>
                <w:rFonts w:ascii="Calibri" w:eastAsia="Times New Roman" w:hAnsi="Calibri" w:cs="Calibri"/>
                <w:color w:val="000000"/>
                <w:sz w:val="20"/>
                <w:szCs w:val="20"/>
                <w:lang w:eastAsia="en-GB"/>
              </w:rPr>
            </w:pPr>
            <w:r w:rsidRPr="004839E6">
              <w:rPr>
                <w:rFonts w:ascii="Calibri" w:eastAsia="Times New Roman" w:hAnsi="Calibri" w:cs="Calibri"/>
                <w:color w:val="000000"/>
                <w:sz w:val="20"/>
                <w:szCs w:val="20"/>
                <w:lang w:eastAsia="en-GB"/>
              </w:rPr>
              <w:t>percentage points</w:t>
            </w:r>
          </w:p>
        </w:tc>
        <w:tc>
          <w:tcPr>
            <w:tcW w:w="279" w:type="dxa"/>
            <w:tcBorders>
              <w:top w:val="nil"/>
              <w:left w:val="nil"/>
              <w:bottom w:val="nil"/>
              <w:right w:val="single" w:sz="4" w:space="0" w:color="auto"/>
            </w:tcBorders>
            <w:shd w:val="clear" w:color="000000" w:fill="F2F2F2"/>
            <w:vAlign w:val="bottom"/>
            <w:hideMark/>
          </w:tcPr>
          <w:p w:rsidR="004839E6" w:rsidRPr="004839E6" w:rsidRDefault="004839E6" w:rsidP="004839E6">
            <w:pPr>
              <w:spacing w:after="0" w:line="240" w:lineRule="auto"/>
              <w:jc w:val="center"/>
              <w:rPr>
                <w:rFonts w:ascii="Calibri" w:eastAsia="Times New Roman" w:hAnsi="Calibri" w:cs="Calibri"/>
                <w:color w:val="000000"/>
                <w:sz w:val="20"/>
                <w:szCs w:val="20"/>
                <w:lang w:eastAsia="en-GB"/>
              </w:rPr>
            </w:pPr>
            <w:r w:rsidRPr="004839E6">
              <w:rPr>
                <w:rFonts w:ascii="Calibri" w:eastAsia="Times New Roman" w:hAnsi="Calibri" w:cs="Calibri"/>
                <w:color w:val="000000"/>
                <w:sz w:val="20"/>
                <w:szCs w:val="20"/>
                <w:lang w:eastAsia="en-GB"/>
              </w:rPr>
              <w:t> </w:t>
            </w:r>
          </w:p>
        </w:tc>
        <w:tc>
          <w:tcPr>
            <w:tcW w:w="1323" w:type="dxa"/>
            <w:tcBorders>
              <w:top w:val="nil"/>
              <w:left w:val="nil"/>
              <w:bottom w:val="single" w:sz="4" w:space="0" w:color="auto"/>
              <w:right w:val="single" w:sz="4" w:space="0" w:color="auto"/>
            </w:tcBorders>
            <w:shd w:val="clear" w:color="auto" w:fill="auto"/>
            <w:vAlign w:val="bottom"/>
            <w:hideMark/>
          </w:tcPr>
          <w:p w:rsidR="004839E6" w:rsidRPr="004839E6" w:rsidRDefault="004839E6" w:rsidP="004839E6">
            <w:pPr>
              <w:spacing w:after="0" w:line="240" w:lineRule="auto"/>
              <w:jc w:val="center"/>
              <w:rPr>
                <w:rFonts w:ascii="Calibri" w:eastAsia="Times New Roman" w:hAnsi="Calibri" w:cs="Calibri"/>
                <w:color w:val="000000"/>
                <w:sz w:val="20"/>
                <w:szCs w:val="20"/>
                <w:lang w:eastAsia="en-GB"/>
              </w:rPr>
            </w:pPr>
            <w:r w:rsidRPr="004839E6">
              <w:rPr>
                <w:rFonts w:ascii="Calibri" w:eastAsia="Times New Roman" w:hAnsi="Calibri" w:cs="Calibri"/>
                <w:color w:val="000000"/>
                <w:sz w:val="20"/>
                <w:szCs w:val="20"/>
                <w:lang w:eastAsia="en-GB"/>
              </w:rPr>
              <w:t>percentage points</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b/>
                <w:bCs/>
                <w:i/>
                <w:iCs/>
                <w:color w:val="000000"/>
                <w:lang w:eastAsia="en-GB"/>
              </w:rPr>
            </w:pPr>
            <w:r w:rsidRPr="004839E6">
              <w:rPr>
                <w:rFonts w:ascii="Calibri" w:eastAsia="Times New Roman" w:hAnsi="Calibri" w:cs="Calibri"/>
                <w:b/>
                <w:bCs/>
                <w:i/>
                <w:iCs/>
                <w:color w:val="000000"/>
                <w:lang w:eastAsia="en-GB"/>
              </w:rPr>
              <w:t>Total</w:t>
            </w:r>
          </w:p>
        </w:tc>
        <w:tc>
          <w:tcPr>
            <w:tcW w:w="3086" w:type="dxa"/>
            <w:tcBorders>
              <w:top w:val="nil"/>
              <w:left w:val="nil"/>
              <w:bottom w:val="single" w:sz="4" w:space="0" w:color="auto"/>
              <w:right w:val="single" w:sz="4" w:space="0" w:color="auto"/>
            </w:tcBorders>
            <w:shd w:val="clear" w:color="auto" w:fill="auto"/>
            <w:noWrap/>
            <w:vAlign w:val="center"/>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42.0</w:t>
            </w:r>
          </w:p>
        </w:tc>
        <w:tc>
          <w:tcPr>
            <w:tcW w:w="3174" w:type="dxa"/>
            <w:tcBorders>
              <w:top w:val="nil"/>
              <w:left w:val="nil"/>
              <w:bottom w:val="single" w:sz="4" w:space="0" w:color="auto"/>
              <w:right w:val="single" w:sz="4" w:space="0" w:color="auto"/>
            </w:tcBorders>
            <w:shd w:val="clear" w:color="auto" w:fill="auto"/>
            <w:noWrap/>
            <w:vAlign w:val="center"/>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34.5</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35.8</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1.3</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-6.2</w:t>
            </w:r>
          </w:p>
        </w:tc>
      </w:tr>
      <w:tr w:rsidR="004839E6" w:rsidRPr="004839E6" w:rsidTr="004839E6">
        <w:trPr>
          <w:trHeight w:val="326"/>
        </w:trPr>
        <w:tc>
          <w:tcPr>
            <w:tcW w:w="14218" w:type="dxa"/>
            <w:gridSpan w:val="8"/>
            <w:tcBorders>
              <w:top w:val="nil"/>
              <w:left w:val="single" w:sz="4" w:space="0" w:color="auto"/>
              <w:bottom w:val="nil"/>
              <w:right w:val="nil"/>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b/>
                <w:bCs/>
                <w:i/>
                <w:iCs/>
                <w:color w:val="000000"/>
                <w:lang w:eastAsia="en-GB"/>
              </w:rPr>
            </w:pPr>
            <w:r w:rsidRPr="004839E6">
              <w:rPr>
                <w:rFonts w:ascii="Calibri" w:eastAsia="Times New Roman" w:hAnsi="Calibri" w:cs="Calibri"/>
                <w:b/>
                <w:bCs/>
                <w:i/>
                <w:iCs/>
                <w:color w:val="000000"/>
                <w:lang w:eastAsia="en-GB"/>
              </w:rPr>
              <w:t>Sex</w:t>
            </w:r>
          </w:p>
        </w:tc>
      </w:tr>
      <w:tr w:rsidR="004839E6" w:rsidRPr="004839E6" w:rsidTr="004839E6">
        <w:trPr>
          <w:trHeight w:val="326"/>
        </w:trPr>
        <w:tc>
          <w:tcPr>
            <w:tcW w:w="2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Males</w:t>
            </w:r>
          </w:p>
        </w:tc>
        <w:tc>
          <w:tcPr>
            <w:tcW w:w="30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44.2</w:t>
            </w:r>
          </w:p>
        </w:tc>
        <w:tc>
          <w:tcPr>
            <w:tcW w:w="3174"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36.2</w:t>
            </w:r>
          </w:p>
        </w:tc>
        <w:tc>
          <w:tcPr>
            <w:tcW w:w="1849" w:type="dxa"/>
            <w:tcBorders>
              <w:top w:val="single" w:sz="4" w:space="0" w:color="auto"/>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38.6</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2.4</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-5.6</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Females</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40.0</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32.9</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33.3</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0.4</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-6.7</w:t>
            </w:r>
          </w:p>
        </w:tc>
      </w:tr>
      <w:tr w:rsidR="004839E6" w:rsidRPr="004839E6" w:rsidTr="004839E6">
        <w:trPr>
          <w:trHeight w:val="326"/>
        </w:trPr>
        <w:tc>
          <w:tcPr>
            <w:tcW w:w="14218" w:type="dxa"/>
            <w:gridSpan w:val="8"/>
            <w:tcBorders>
              <w:top w:val="nil"/>
              <w:left w:val="single" w:sz="4" w:space="0" w:color="auto"/>
              <w:bottom w:val="nil"/>
              <w:right w:val="nil"/>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b/>
                <w:bCs/>
                <w:i/>
                <w:iCs/>
                <w:color w:val="000000"/>
                <w:lang w:eastAsia="en-GB"/>
              </w:rPr>
            </w:pPr>
            <w:r w:rsidRPr="004839E6">
              <w:rPr>
                <w:rFonts w:ascii="Calibri" w:eastAsia="Times New Roman" w:hAnsi="Calibri" w:cs="Calibri"/>
                <w:b/>
                <w:bCs/>
                <w:i/>
                <w:iCs/>
                <w:color w:val="000000"/>
                <w:lang w:eastAsia="en-GB"/>
              </w:rPr>
              <w:t>Age</w:t>
            </w:r>
          </w:p>
        </w:tc>
      </w:tr>
      <w:tr w:rsidR="004839E6" w:rsidRPr="004839E6" w:rsidTr="004839E6">
        <w:trPr>
          <w:trHeight w:val="326"/>
        </w:trPr>
        <w:tc>
          <w:tcPr>
            <w:tcW w:w="2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15-24 years</w:t>
            </w:r>
          </w:p>
        </w:tc>
        <w:tc>
          <w:tcPr>
            <w:tcW w:w="30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19.3</w:t>
            </w:r>
          </w:p>
        </w:tc>
        <w:tc>
          <w:tcPr>
            <w:tcW w:w="3174"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16.0</w:t>
            </w:r>
          </w:p>
        </w:tc>
        <w:tc>
          <w:tcPr>
            <w:tcW w:w="1849" w:type="dxa"/>
            <w:tcBorders>
              <w:top w:val="single" w:sz="4" w:space="0" w:color="auto"/>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17.1</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1.1</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-2.2</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25-54 years</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53.1</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46.3</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50.1</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3.8</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-3.1</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55-64 years</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46.6</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35.3</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36.1</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0.8</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-10.5</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65+</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16.1</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6.0</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6.4</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0.5</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-9.7</w:t>
            </w:r>
          </w:p>
        </w:tc>
      </w:tr>
      <w:tr w:rsidR="004839E6" w:rsidRPr="004839E6" w:rsidTr="004839E6">
        <w:trPr>
          <w:trHeight w:val="326"/>
        </w:trPr>
        <w:tc>
          <w:tcPr>
            <w:tcW w:w="14218" w:type="dxa"/>
            <w:gridSpan w:val="8"/>
            <w:tcBorders>
              <w:top w:val="nil"/>
              <w:left w:val="single" w:sz="4" w:space="0" w:color="auto"/>
              <w:bottom w:val="nil"/>
              <w:right w:val="nil"/>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b/>
                <w:bCs/>
                <w:i/>
                <w:iCs/>
                <w:color w:val="000000"/>
                <w:lang w:eastAsia="en-GB"/>
              </w:rPr>
            </w:pPr>
            <w:r w:rsidRPr="004839E6">
              <w:rPr>
                <w:rFonts w:ascii="Calibri" w:eastAsia="Times New Roman" w:hAnsi="Calibri" w:cs="Calibri"/>
                <w:b/>
                <w:bCs/>
                <w:i/>
                <w:iCs/>
                <w:color w:val="000000"/>
                <w:lang w:eastAsia="en-GB"/>
              </w:rPr>
              <w:t>Urban/Rural</w:t>
            </w:r>
          </w:p>
        </w:tc>
      </w:tr>
      <w:tr w:rsidR="004839E6" w:rsidRPr="004839E6" w:rsidTr="004839E6">
        <w:trPr>
          <w:trHeight w:val="326"/>
        </w:trPr>
        <w:tc>
          <w:tcPr>
            <w:tcW w:w="2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Urban</w:t>
            </w:r>
          </w:p>
        </w:tc>
        <w:tc>
          <w:tcPr>
            <w:tcW w:w="30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40.9</w:t>
            </w:r>
          </w:p>
        </w:tc>
        <w:tc>
          <w:tcPr>
            <w:tcW w:w="3174"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39.9</w:t>
            </w:r>
          </w:p>
        </w:tc>
        <w:tc>
          <w:tcPr>
            <w:tcW w:w="1849" w:type="dxa"/>
            <w:tcBorders>
              <w:top w:val="single" w:sz="4" w:space="0" w:color="auto"/>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42.0</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2.1</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1.1</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Rural</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42.8</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30.2</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31.6</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1.4</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-11.2</w:t>
            </w:r>
          </w:p>
        </w:tc>
      </w:tr>
      <w:tr w:rsidR="004839E6" w:rsidRPr="004839E6" w:rsidTr="004839E6">
        <w:trPr>
          <w:trHeight w:val="326"/>
        </w:trPr>
        <w:tc>
          <w:tcPr>
            <w:tcW w:w="14218" w:type="dxa"/>
            <w:gridSpan w:val="8"/>
            <w:tcBorders>
              <w:top w:val="nil"/>
              <w:left w:val="single" w:sz="4" w:space="0" w:color="auto"/>
              <w:bottom w:val="nil"/>
              <w:right w:val="nil"/>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b/>
                <w:bCs/>
                <w:i/>
                <w:iCs/>
                <w:color w:val="000000"/>
                <w:lang w:eastAsia="en-GB"/>
              </w:rPr>
            </w:pPr>
            <w:r w:rsidRPr="004839E6">
              <w:rPr>
                <w:rFonts w:ascii="Calibri" w:eastAsia="Times New Roman" w:hAnsi="Calibri" w:cs="Calibri"/>
                <w:b/>
                <w:bCs/>
                <w:i/>
                <w:iCs/>
                <w:color w:val="000000"/>
                <w:lang w:eastAsia="en-GB"/>
              </w:rPr>
              <w:t>Zone</w:t>
            </w:r>
          </w:p>
        </w:tc>
      </w:tr>
      <w:tr w:rsidR="004839E6" w:rsidRPr="004839E6" w:rsidTr="004839E6">
        <w:trPr>
          <w:trHeight w:val="326"/>
        </w:trPr>
        <w:tc>
          <w:tcPr>
            <w:tcW w:w="2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North</w:t>
            </w:r>
          </w:p>
        </w:tc>
        <w:tc>
          <w:tcPr>
            <w:tcW w:w="30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42.9</w:t>
            </w:r>
          </w:p>
        </w:tc>
        <w:tc>
          <w:tcPr>
            <w:tcW w:w="3174"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35.9</w:t>
            </w:r>
          </w:p>
        </w:tc>
        <w:tc>
          <w:tcPr>
            <w:tcW w:w="1849" w:type="dxa"/>
            <w:tcBorders>
              <w:top w:val="single" w:sz="4" w:space="0" w:color="auto"/>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37.9</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2.0</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-4.9</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Centre</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42.3</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27.8</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28.4</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0.6</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-13.8</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South</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35.1</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28.7</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30.3</w:t>
            </w:r>
          </w:p>
        </w:tc>
        <w:tc>
          <w:tcPr>
            <w:tcW w:w="279" w:type="dxa"/>
            <w:tcBorders>
              <w:top w:val="nil"/>
              <w:left w:val="single" w:sz="4" w:space="0" w:color="auto"/>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1.6</w:t>
            </w:r>
          </w:p>
        </w:tc>
        <w:tc>
          <w:tcPr>
            <w:tcW w:w="279" w:type="dxa"/>
            <w:tcBorders>
              <w:top w:val="nil"/>
              <w:left w:val="nil"/>
              <w:bottom w:val="nil"/>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-4.8</w:t>
            </w:r>
          </w:p>
        </w:tc>
      </w:tr>
      <w:tr w:rsidR="004839E6" w:rsidRPr="004839E6" w:rsidTr="004839E6">
        <w:trPr>
          <w:trHeight w:val="326"/>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Municipality Chisinau</w:t>
            </w:r>
          </w:p>
        </w:tc>
        <w:tc>
          <w:tcPr>
            <w:tcW w:w="30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46.3</w:t>
            </w:r>
          </w:p>
        </w:tc>
        <w:tc>
          <w:tcPr>
            <w:tcW w:w="3174"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45.7</w:t>
            </w:r>
          </w:p>
        </w:tc>
        <w:tc>
          <w:tcPr>
            <w:tcW w:w="1849" w:type="dxa"/>
            <w:tcBorders>
              <w:top w:val="nil"/>
              <w:left w:val="nil"/>
              <w:bottom w:val="single" w:sz="4" w:space="0" w:color="auto"/>
              <w:right w:val="nil"/>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46.8</w:t>
            </w:r>
          </w:p>
        </w:tc>
        <w:tc>
          <w:tcPr>
            <w:tcW w:w="279" w:type="dxa"/>
            <w:tcBorders>
              <w:top w:val="nil"/>
              <w:left w:val="single" w:sz="4" w:space="0" w:color="auto"/>
              <w:bottom w:val="single" w:sz="4" w:space="0" w:color="auto"/>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86"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1.1</w:t>
            </w:r>
          </w:p>
        </w:tc>
        <w:tc>
          <w:tcPr>
            <w:tcW w:w="279" w:type="dxa"/>
            <w:tcBorders>
              <w:top w:val="nil"/>
              <w:left w:val="nil"/>
              <w:bottom w:val="single" w:sz="4" w:space="0" w:color="auto"/>
              <w:right w:val="single" w:sz="4" w:space="0" w:color="auto"/>
            </w:tcBorders>
            <w:shd w:val="clear" w:color="000000" w:fill="F2F2F2"/>
            <w:noWrap/>
            <w:vAlign w:val="bottom"/>
            <w:hideMark/>
          </w:tcPr>
          <w:p w:rsidR="004839E6" w:rsidRPr="004839E6" w:rsidRDefault="004839E6" w:rsidP="004839E6">
            <w:pPr>
              <w:spacing w:after="0" w:line="240" w:lineRule="auto"/>
              <w:rPr>
                <w:rFonts w:ascii="Calibri" w:eastAsia="Times New Roman" w:hAnsi="Calibri" w:cs="Calibri"/>
                <w:color w:val="000000"/>
                <w:lang w:eastAsia="en-GB"/>
              </w:rPr>
            </w:pPr>
            <w:r w:rsidRPr="004839E6">
              <w:rPr>
                <w:rFonts w:ascii="Calibri" w:eastAsia="Times New Roman" w:hAnsi="Calibri" w:cs="Calibri"/>
                <w:color w:val="000000"/>
                <w:lang w:eastAsia="en-GB"/>
              </w:rPr>
              <w:t> </w:t>
            </w:r>
          </w:p>
        </w:tc>
        <w:tc>
          <w:tcPr>
            <w:tcW w:w="1323" w:type="dxa"/>
            <w:tcBorders>
              <w:top w:val="nil"/>
              <w:left w:val="nil"/>
              <w:bottom w:val="single" w:sz="4" w:space="0" w:color="auto"/>
              <w:right w:val="single" w:sz="4" w:space="0" w:color="auto"/>
            </w:tcBorders>
            <w:shd w:val="clear" w:color="auto" w:fill="auto"/>
            <w:noWrap/>
            <w:vAlign w:val="bottom"/>
            <w:hideMark/>
          </w:tcPr>
          <w:p w:rsidR="004839E6" w:rsidRPr="004839E6" w:rsidRDefault="004839E6" w:rsidP="004839E6">
            <w:pPr>
              <w:spacing w:after="0" w:line="240" w:lineRule="auto"/>
              <w:jc w:val="right"/>
              <w:rPr>
                <w:rFonts w:ascii="Calibri" w:eastAsia="Times New Roman" w:hAnsi="Calibri" w:cs="Calibri"/>
                <w:color w:val="000000"/>
                <w:lang w:eastAsia="en-GB"/>
              </w:rPr>
            </w:pPr>
            <w:r w:rsidRPr="004839E6">
              <w:rPr>
                <w:rFonts w:ascii="Calibri" w:eastAsia="Times New Roman" w:hAnsi="Calibri" w:cs="Calibri"/>
                <w:color w:val="000000"/>
                <w:lang w:eastAsia="en-GB"/>
              </w:rPr>
              <w:t>0.6</w:t>
            </w:r>
          </w:p>
        </w:tc>
      </w:tr>
    </w:tbl>
    <w:p w:rsidR="004839E6" w:rsidRDefault="004839E6" w:rsidP="00B80797">
      <w:pPr>
        <w:jc w:val="both"/>
        <w:sectPr w:rsidR="004839E6" w:rsidSect="004839E6">
          <w:pgSz w:w="16838" w:h="11906" w:orient="landscape"/>
          <w:pgMar w:top="1440" w:right="1440" w:bottom="1440" w:left="1440" w:header="708" w:footer="708" w:gutter="0"/>
          <w:cols w:space="708"/>
          <w:docGrid w:linePitch="360"/>
        </w:sectPr>
      </w:pPr>
    </w:p>
    <w:p w:rsidR="00E53922" w:rsidRDefault="00E53922" w:rsidP="00E53922">
      <w:pPr>
        <w:pStyle w:val="a7"/>
        <w:numPr>
          <w:ilvl w:val="2"/>
          <w:numId w:val="5"/>
        </w:numPr>
        <w:jc w:val="both"/>
        <w:rPr>
          <w:b/>
          <w:i/>
        </w:rPr>
      </w:pPr>
      <w:r w:rsidRPr="00E53922">
        <w:rPr>
          <w:b/>
          <w:i/>
        </w:rPr>
        <w:lastRenderedPageBreak/>
        <w:t xml:space="preserve">Impact of the new population </w:t>
      </w:r>
      <w:r w:rsidR="009A2AAC">
        <w:rPr>
          <w:b/>
          <w:i/>
        </w:rPr>
        <w:t xml:space="preserve">definition and </w:t>
      </w:r>
      <w:r w:rsidRPr="00E53922">
        <w:rPr>
          <w:b/>
          <w:i/>
        </w:rPr>
        <w:t xml:space="preserve">estimates on </w:t>
      </w:r>
      <w:r w:rsidR="002D4171">
        <w:rPr>
          <w:b/>
          <w:i/>
        </w:rPr>
        <w:t>un</w:t>
      </w:r>
      <w:r w:rsidRPr="00E53922">
        <w:rPr>
          <w:b/>
          <w:i/>
        </w:rPr>
        <w:t>employment estimates</w:t>
      </w:r>
    </w:p>
    <w:p w:rsidR="00525900" w:rsidRPr="00525900" w:rsidRDefault="00525900" w:rsidP="00525900">
      <w:pPr>
        <w:jc w:val="both"/>
        <w:rPr>
          <w:i/>
        </w:rPr>
      </w:pPr>
      <w:r>
        <w:rPr>
          <w:i/>
        </w:rPr>
        <w:t>Number of persons unemployed</w:t>
      </w:r>
    </w:p>
    <w:p w:rsidR="00484C0C" w:rsidRDefault="009A2AAC" w:rsidP="00E53922">
      <w:pPr>
        <w:jc w:val="both"/>
      </w:pPr>
      <w:r>
        <w:t xml:space="preserve">As shown in figure 8 and table 7 the estimate of the number of persons unemployed was reduced by 26% due to the change of the population definition and estimates. </w:t>
      </w:r>
      <w:r w:rsidR="00484C0C">
        <w:t>This reduction is the same as the reduction in the working age population (26%).</w:t>
      </w:r>
    </w:p>
    <w:p w:rsidR="00913C4D" w:rsidRDefault="009A2AAC" w:rsidP="00E53922">
      <w:pPr>
        <w:jc w:val="both"/>
      </w:pPr>
      <w:r>
        <w:t>The old estimate</w:t>
      </w:r>
      <w:r w:rsidR="00484C0C">
        <w:t>d number of persons unemployed</w:t>
      </w:r>
      <w:r>
        <w:t xml:space="preserve"> for 2018 was 38,100</w:t>
      </w:r>
      <w:r w:rsidR="00484C0C">
        <w:t>.</w:t>
      </w:r>
      <w:r>
        <w:t xml:space="preserve"> </w:t>
      </w:r>
      <w:r w:rsidR="00484C0C">
        <w:t>W</w:t>
      </w:r>
      <w:r>
        <w:t>hen the new statistical standards were applied this increased to 44,000 (+15</w:t>
      </w:r>
      <w:r w:rsidR="00484C0C">
        <w:t>%</w:t>
      </w:r>
      <w:r>
        <w:t>)</w:t>
      </w:r>
      <w:r w:rsidR="00D16222">
        <w:t>,</w:t>
      </w:r>
      <w:r>
        <w:t xml:space="preserve"> but when the new population estimates were introduced this fell to </w:t>
      </w:r>
      <w:r w:rsidR="00484C0C">
        <w:t>34,100 (-26%). As a result</w:t>
      </w:r>
      <w:r w:rsidR="00310AA5">
        <w:t>,</w:t>
      </w:r>
      <w:r w:rsidR="00484C0C">
        <w:t xml:space="preserve"> the new estimate of unemployment, with all changes made was </w:t>
      </w:r>
      <w:r w:rsidR="00D85CD1">
        <w:t xml:space="preserve">4,000 or </w:t>
      </w:r>
      <w:r w:rsidR="00484C0C">
        <w:t>11% lower than the old estimate for 2018.</w:t>
      </w:r>
    </w:p>
    <w:p w:rsidR="009A2AAC" w:rsidRDefault="009A2AAC" w:rsidP="00E53922">
      <w:pPr>
        <w:jc w:val="both"/>
      </w:pPr>
      <w:r>
        <w:rPr>
          <w:noProof/>
          <w:lang w:val="ru-RU" w:eastAsia="ru-RU"/>
        </w:rPr>
        <w:drawing>
          <wp:inline distT="0" distB="0" distL="0" distR="0">
            <wp:extent cx="5543550" cy="4171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4C0C" w:rsidRDefault="00484C0C" w:rsidP="00E53922">
      <w:pPr>
        <w:jc w:val="both"/>
        <w:sectPr w:rsidR="00484C0C" w:rsidSect="00C641DA">
          <w:pgSz w:w="11906" w:h="16838"/>
          <w:pgMar w:top="1440" w:right="1440" w:bottom="1440" w:left="1440" w:header="708" w:footer="708" w:gutter="0"/>
          <w:cols w:space="708"/>
          <w:docGrid w:linePitch="360"/>
        </w:sectPr>
      </w:pPr>
      <w:r>
        <w:t>As can be seen from figure 8 the reduction due to the population definition and estimates change was seen in all subgroups. The size of the reduction was relatively similar for most groups</w:t>
      </w:r>
      <w:r w:rsidR="00D16222">
        <w:t>,</w:t>
      </w:r>
      <w:r>
        <w:t xml:space="preserve"> although  with relatively larger decreases in the centre and south than the Chisinau Municipality.  However, the size of the groups involved were relatively small so we must be careful </w:t>
      </w:r>
      <w:r w:rsidR="00D16222">
        <w:t>trying to assign an explanation</w:t>
      </w:r>
      <w:r w:rsidR="00D85CD1">
        <w:t xml:space="preserve"> for differences in the impact</w:t>
      </w:r>
      <w:r>
        <w:t xml:space="preserve">. The </w:t>
      </w:r>
      <w:r w:rsidR="00D85CD1">
        <w:t xml:space="preserve">clear </w:t>
      </w:r>
      <w:r>
        <w:t>message is that the reduction in the population estimates caused the unemployment estimate to be lower for all subgroups.</w:t>
      </w:r>
    </w:p>
    <w:tbl>
      <w:tblPr>
        <w:tblW w:w="5000" w:type="pct"/>
        <w:tblLook w:val="04A0"/>
      </w:tblPr>
      <w:tblGrid>
        <w:gridCol w:w="2436"/>
        <w:gridCol w:w="2653"/>
        <w:gridCol w:w="2730"/>
        <w:gridCol w:w="1349"/>
        <w:gridCol w:w="335"/>
        <w:gridCol w:w="1151"/>
        <w:gridCol w:w="1151"/>
        <w:gridCol w:w="286"/>
        <w:gridCol w:w="1009"/>
        <w:gridCol w:w="1074"/>
      </w:tblGrid>
      <w:tr w:rsidR="00525900" w:rsidRPr="002D4171" w:rsidTr="00525900">
        <w:trPr>
          <w:trHeight w:val="300"/>
        </w:trPr>
        <w:tc>
          <w:tcPr>
            <w:tcW w:w="2758" w:type="pct"/>
            <w:gridSpan w:val="3"/>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b/>
                <w:color w:val="000000"/>
                <w:lang w:eastAsia="en-GB"/>
              </w:rPr>
            </w:pPr>
            <w:r w:rsidRPr="002D4171">
              <w:rPr>
                <w:rFonts w:ascii="Calibri" w:eastAsia="Times New Roman" w:hAnsi="Calibri" w:cs="Calibri"/>
                <w:b/>
                <w:color w:val="000000"/>
                <w:lang w:eastAsia="en-GB"/>
              </w:rPr>
              <w:lastRenderedPageBreak/>
              <w:t>Table 7 - Impact of changes on estimates of number of persons unemployed, 2018</w:t>
            </w:r>
          </w:p>
        </w:tc>
        <w:tc>
          <w:tcPr>
            <w:tcW w:w="476"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b/>
                <w:color w:val="000000"/>
                <w:lang w:eastAsia="en-GB"/>
              </w:rPr>
            </w:pPr>
          </w:p>
        </w:tc>
        <w:tc>
          <w:tcPr>
            <w:tcW w:w="118"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Times New Roman" w:eastAsia="Times New Roman" w:hAnsi="Times New Roman" w:cs="Times New Roman"/>
                <w:b/>
                <w:sz w:val="20"/>
                <w:szCs w:val="20"/>
                <w:lang w:eastAsia="en-GB"/>
              </w:rPr>
            </w:pPr>
          </w:p>
        </w:tc>
        <w:tc>
          <w:tcPr>
            <w:tcW w:w="406"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Times New Roman" w:eastAsia="Times New Roman" w:hAnsi="Times New Roman" w:cs="Times New Roman"/>
                <w:b/>
                <w:sz w:val="20"/>
                <w:szCs w:val="20"/>
                <w:lang w:eastAsia="en-GB"/>
              </w:rPr>
            </w:pPr>
          </w:p>
        </w:tc>
        <w:tc>
          <w:tcPr>
            <w:tcW w:w="406"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Times New Roman" w:eastAsia="Times New Roman" w:hAnsi="Times New Roman" w:cs="Times New Roman"/>
                <w:b/>
                <w:sz w:val="20"/>
                <w:szCs w:val="20"/>
                <w:lang w:eastAsia="en-GB"/>
              </w:rPr>
            </w:pPr>
          </w:p>
        </w:tc>
        <w:tc>
          <w:tcPr>
            <w:tcW w:w="101"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Times New Roman" w:eastAsia="Times New Roman" w:hAnsi="Times New Roman" w:cs="Times New Roman"/>
                <w:b/>
                <w:sz w:val="20"/>
                <w:szCs w:val="20"/>
                <w:lang w:eastAsia="en-GB"/>
              </w:rPr>
            </w:pPr>
          </w:p>
        </w:tc>
        <w:tc>
          <w:tcPr>
            <w:tcW w:w="356"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auto"/>
            <w:noWrap/>
            <w:vAlign w:val="bottom"/>
            <w:hideMark/>
          </w:tcPr>
          <w:p w:rsidR="002D4171" w:rsidRPr="002D4171" w:rsidRDefault="002D4171" w:rsidP="002D4171">
            <w:pPr>
              <w:spacing w:after="0" w:line="240" w:lineRule="auto"/>
              <w:rPr>
                <w:rFonts w:ascii="Times New Roman" w:eastAsia="Times New Roman" w:hAnsi="Times New Roman" w:cs="Times New Roman"/>
                <w:sz w:val="20"/>
                <w:szCs w:val="20"/>
                <w:lang w:eastAsia="en-GB"/>
              </w:rPr>
            </w:pPr>
          </w:p>
        </w:tc>
      </w:tr>
      <w:tr w:rsidR="00525900" w:rsidRPr="002D4171" w:rsidTr="00525900">
        <w:trPr>
          <w:trHeight w:val="300"/>
        </w:trPr>
        <w:tc>
          <w:tcPr>
            <w:tcW w:w="85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2375"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2D4171" w:rsidRPr="002D4171" w:rsidRDefault="002D4171" w:rsidP="002D4171">
            <w:pPr>
              <w:spacing w:after="0" w:line="240" w:lineRule="auto"/>
              <w:jc w:val="center"/>
              <w:rPr>
                <w:rFonts w:ascii="Calibri" w:eastAsia="Times New Roman" w:hAnsi="Calibri" w:cs="Calibri"/>
                <w:b/>
                <w:bCs/>
                <w:color w:val="000000"/>
                <w:lang w:eastAsia="en-GB"/>
              </w:rPr>
            </w:pPr>
            <w:r w:rsidRPr="002D4171">
              <w:rPr>
                <w:rFonts w:ascii="Calibri" w:eastAsia="Times New Roman" w:hAnsi="Calibri" w:cs="Calibri"/>
                <w:b/>
                <w:bCs/>
                <w:color w:val="000000"/>
                <w:lang w:eastAsia="en-GB"/>
              </w:rPr>
              <w:t>2018 average</w:t>
            </w:r>
          </w:p>
        </w:tc>
        <w:tc>
          <w:tcPr>
            <w:tcW w:w="118" w:type="pct"/>
            <w:tcBorders>
              <w:top w:val="single" w:sz="4" w:space="0" w:color="auto"/>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jc w:val="center"/>
              <w:rPr>
                <w:rFonts w:ascii="Calibri" w:eastAsia="Times New Roman" w:hAnsi="Calibri" w:cs="Calibri"/>
                <w:b/>
                <w:bCs/>
                <w:color w:val="000000"/>
                <w:lang w:eastAsia="en-GB"/>
              </w:rPr>
            </w:pPr>
            <w:r w:rsidRPr="002D4171">
              <w:rPr>
                <w:rFonts w:ascii="Calibri" w:eastAsia="Times New Roman" w:hAnsi="Calibri" w:cs="Calibri"/>
                <w:b/>
                <w:bCs/>
                <w:color w:val="000000"/>
                <w:lang w:eastAsia="en-GB"/>
              </w:rPr>
              <w:t> </w:t>
            </w:r>
          </w:p>
        </w:tc>
        <w:tc>
          <w:tcPr>
            <w:tcW w:w="406" w:type="pct"/>
            <w:tcBorders>
              <w:top w:val="single" w:sz="4" w:space="0" w:color="auto"/>
              <w:left w:val="nil"/>
              <w:bottom w:val="single" w:sz="4" w:space="0" w:color="auto"/>
              <w:right w:val="single" w:sz="4" w:space="0" w:color="auto"/>
            </w:tcBorders>
            <w:shd w:val="clear" w:color="000000" w:fill="D9D9D9"/>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single" w:sz="4" w:space="0" w:color="auto"/>
              <w:left w:val="nil"/>
              <w:bottom w:val="single" w:sz="4" w:space="0" w:color="auto"/>
              <w:right w:val="single" w:sz="4" w:space="0" w:color="auto"/>
            </w:tcBorders>
            <w:shd w:val="clear" w:color="000000" w:fill="D9D9D9"/>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101" w:type="pct"/>
            <w:tcBorders>
              <w:top w:val="single" w:sz="4" w:space="0" w:color="auto"/>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single" w:sz="4" w:space="0" w:color="auto"/>
              <w:left w:val="nil"/>
              <w:bottom w:val="single" w:sz="4" w:space="0" w:color="auto"/>
              <w:right w:val="single" w:sz="4" w:space="0" w:color="auto"/>
            </w:tcBorders>
            <w:shd w:val="clear" w:color="000000" w:fill="D9D9D9"/>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79" w:type="pct"/>
            <w:tcBorders>
              <w:top w:val="single" w:sz="4" w:space="0" w:color="auto"/>
              <w:left w:val="nil"/>
              <w:bottom w:val="single" w:sz="4" w:space="0" w:color="auto"/>
              <w:right w:val="single" w:sz="4" w:space="0" w:color="auto"/>
            </w:tcBorders>
            <w:shd w:val="clear" w:color="000000" w:fill="D9D9D9"/>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r>
      <w:tr w:rsidR="003264D2" w:rsidRPr="002D4171" w:rsidTr="00525900">
        <w:trPr>
          <w:trHeight w:val="900"/>
        </w:trPr>
        <w:tc>
          <w:tcPr>
            <w:tcW w:w="859" w:type="pct"/>
            <w:tcBorders>
              <w:top w:val="nil"/>
              <w:left w:val="single" w:sz="4" w:space="0" w:color="auto"/>
              <w:bottom w:val="single" w:sz="4" w:space="0" w:color="auto"/>
              <w:right w:val="single" w:sz="4" w:space="0" w:color="auto"/>
            </w:tcBorders>
            <w:shd w:val="clear" w:color="000000" w:fill="D9D9D9"/>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936" w:type="pct"/>
            <w:tcBorders>
              <w:top w:val="nil"/>
              <w:left w:val="nil"/>
              <w:bottom w:val="single" w:sz="4" w:space="0" w:color="auto"/>
              <w:right w:val="single" w:sz="4" w:space="0" w:color="auto"/>
            </w:tcBorders>
            <w:shd w:val="clear" w:color="auto" w:fill="auto"/>
            <w:vAlign w:val="bottom"/>
            <w:hideMark/>
          </w:tcPr>
          <w:p w:rsidR="002D4171" w:rsidRPr="002D4171" w:rsidRDefault="002D4171" w:rsidP="002D4171">
            <w:pPr>
              <w:spacing w:after="0" w:line="240" w:lineRule="auto"/>
              <w:rPr>
                <w:rFonts w:ascii="Calibri" w:eastAsia="Times New Roman" w:hAnsi="Calibri" w:cs="Calibri"/>
                <w:b/>
                <w:bCs/>
                <w:color w:val="000000"/>
                <w:lang w:eastAsia="en-GB"/>
              </w:rPr>
            </w:pPr>
            <w:r w:rsidRPr="002D4171">
              <w:rPr>
                <w:rFonts w:ascii="Calibri" w:eastAsia="Times New Roman" w:hAnsi="Calibri" w:cs="Calibri"/>
                <w:b/>
                <w:bCs/>
                <w:color w:val="000000"/>
                <w:lang w:eastAsia="en-GB"/>
              </w:rPr>
              <w:t>Old standards, stable population (old estimate)</w:t>
            </w:r>
          </w:p>
        </w:tc>
        <w:tc>
          <w:tcPr>
            <w:tcW w:w="963" w:type="pct"/>
            <w:tcBorders>
              <w:top w:val="nil"/>
              <w:left w:val="nil"/>
              <w:bottom w:val="single" w:sz="4" w:space="0" w:color="auto"/>
              <w:right w:val="single" w:sz="4" w:space="0" w:color="auto"/>
            </w:tcBorders>
            <w:shd w:val="clear" w:color="auto" w:fill="auto"/>
            <w:vAlign w:val="bottom"/>
            <w:hideMark/>
          </w:tcPr>
          <w:p w:rsidR="002D4171" w:rsidRPr="002D4171" w:rsidRDefault="002D4171" w:rsidP="002D4171">
            <w:pPr>
              <w:spacing w:after="0" w:line="240" w:lineRule="auto"/>
              <w:rPr>
                <w:rFonts w:ascii="Calibri" w:eastAsia="Times New Roman" w:hAnsi="Calibri" w:cs="Calibri"/>
                <w:b/>
                <w:bCs/>
                <w:color w:val="000000"/>
                <w:lang w:eastAsia="en-GB"/>
              </w:rPr>
            </w:pPr>
            <w:r w:rsidRPr="002D4171">
              <w:rPr>
                <w:rFonts w:ascii="Calibri" w:eastAsia="Times New Roman" w:hAnsi="Calibri" w:cs="Calibri"/>
                <w:b/>
                <w:bCs/>
                <w:color w:val="000000"/>
                <w:lang w:eastAsia="en-GB"/>
              </w:rPr>
              <w:t>New Standards, stable population</w:t>
            </w:r>
          </w:p>
        </w:tc>
        <w:tc>
          <w:tcPr>
            <w:tcW w:w="476" w:type="pct"/>
            <w:tcBorders>
              <w:top w:val="nil"/>
              <w:left w:val="nil"/>
              <w:bottom w:val="single" w:sz="4" w:space="0" w:color="auto"/>
              <w:right w:val="nil"/>
            </w:tcBorders>
            <w:shd w:val="clear" w:color="auto" w:fill="auto"/>
            <w:vAlign w:val="bottom"/>
            <w:hideMark/>
          </w:tcPr>
          <w:p w:rsidR="002D4171" w:rsidRPr="002D4171" w:rsidRDefault="002D4171" w:rsidP="002D4171">
            <w:pPr>
              <w:spacing w:after="0" w:line="240" w:lineRule="auto"/>
              <w:rPr>
                <w:rFonts w:ascii="Calibri" w:eastAsia="Times New Roman" w:hAnsi="Calibri" w:cs="Calibri"/>
                <w:b/>
                <w:bCs/>
                <w:color w:val="000000"/>
                <w:lang w:eastAsia="en-GB"/>
              </w:rPr>
            </w:pPr>
            <w:r w:rsidRPr="002D4171">
              <w:rPr>
                <w:rFonts w:ascii="Calibri" w:eastAsia="Times New Roman" w:hAnsi="Calibri" w:cs="Calibri"/>
                <w:b/>
                <w:bCs/>
                <w:color w:val="000000"/>
                <w:lang w:eastAsia="en-GB"/>
              </w:rPr>
              <w:t>New Standards, new population (new estimate)</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b/>
                <w:bCs/>
                <w:color w:val="000000"/>
                <w:lang w:eastAsia="en-GB"/>
              </w:rPr>
            </w:pPr>
            <w:r w:rsidRPr="002D4171">
              <w:rPr>
                <w:rFonts w:ascii="Calibri" w:eastAsia="Times New Roman" w:hAnsi="Calibri" w:cs="Calibri"/>
                <w:b/>
                <w:bCs/>
                <w:color w:val="000000"/>
                <w:lang w:eastAsia="en-GB"/>
              </w:rPr>
              <w:t> </w:t>
            </w:r>
          </w:p>
        </w:tc>
        <w:tc>
          <w:tcPr>
            <w:tcW w:w="812" w:type="pct"/>
            <w:gridSpan w:val="2"/>
            <w:tcBorders>
              <w:top w:val="single" w:sz="4" w:space="0" w:color="auto"/>
              <w:left w:val="nil"/>
              <w:bottom w:val="single" w:sz="4" w:space="0" w:color="auto"/>
              <w:right w:val="single" w:sz="4" w:space="0" w:color="auto"/>
            </w:tcBorders>
            <w:shd w:val="clear" w:color="auto" w:fill="auto"/>
            <w:vAlign w:val="bottom"/>
            <w:hideMark/>
          </w:tcPr>
          <w:p w:rsidR="002D4171" w:rsidRPr="002D4171" w:rsidRDefault="002D4171" w:rsidP="002D4171">
            <w:pPr>
              <w:spacing w:after="0" w:line="240" w:lineRule="auto"/>
              <w:jc w:val="center"/>
              <w:rPr>
                <w:rFonts w:ascii="Calibri" w:eastAsia="Times New Roman" w:hAnsi="Calibri" w:cs="Calibri"/>
                <w:color w:val="000000"/>
                <w:lang w:eastAsia="en-GB"/>
              </w:rPr>
            </w:pPr>
            <w:r w:rsidRPr="002D4171">
              <w:rPr>
                <w:rFonts w:ascii="Calibri" w:eastAsia="Times New Roman" w:hAnsi="Calibri" w:cs="Calibri"/>
                <w:color w:val="000000"/>
                <w:lang w:eastAsia="en-GB"/>
              </w:rPr>
              <w:t>Change due to population estimates</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735" w:type="pct"/>
            <w:gridSpan w:val="2"/>
            <w:tcBorders>
              <w:top w:val="single" w:sz="4" w:space="0" w:color="auto"/>
              <w:left w:val="nil"/>
              <w:bottom w:val="single" w:sz="4" w:space="0" w:color="auto"/>
              <w:right w:val="single" w:sz="4" w:space="0" w:color="auto"/>
            </w:tcBorders>
            <w:shd w:val="clear" w:color="auto" w:fill="auto"/>
            <w:vAlign w:val="bottom"/>
            <w:hideMark/>
          </w:tcPr>
          <w:p w:rsidR="002D4171" w:rsidRPr="002D4171" w:rsidRDefault="002D4171" w:rsidP="002D4171">
            <w:pPr>
              <w:spacing w:after="0" w:line="240" w:lineRule="auto"/>
              <w:jc w:val="center"/>
              <w:rPr>
                <w:rFonts w:ascii="Calibri" w:eastAsia="Times New Roman" w:hAnsi="Calibri" w:cs="Calibri"/>
                <w:color w:val="000000"/>
                <w:lang w:eastAsia="en-GB"/>
              </w:rPr>
            </w:pPr>
            <w:r w:rsidRPr="002D4171">
              <w:rPr>
                <w:rFonts w:ascii="Calibri" w:eastAsia="Times New Roman" w:hAnsi="Calibri" w:cs="Calibri"/>
                <w:color w:val="000000"/>
                <w:lang w:eastAsia="en-GB"/>
              </w:rPr>
              <w:t>Total change (old to new estimate)</w:t>
            </w:r>
          </w:p>
        </w:tc>
      </w:tr>
      <w:tr w:rsidR="00525900" w:rsidRPr="002D4171" w:rsidTr="00525900">
        <w:trPr>
          <w:trHeight w:val="525"/>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2375" w:type="pct"/>
            <w:gridSpan w:val="3"/>
            <w:tcBorders>
              <w:top w:val="single" w:sz="4" w:space="0" w:color="auto"/>
              <w:left w:val="nil"/>
              <w:bottom w:val="single" w:sz="4" w:space="0" w:color="auto"/>
              <w:right w:val="nil"/>
            </w:tcBorders>
            <w:shd w:val="clear" w:color="auto" w:fill="auto"/>
            <w:noWrap/>
            <w:vAlign w:val="center"/>
            <w:hideMark/>
          </w:tcPr>
          <w:p w:rsidR="002D4171" w:rsidRPr="002D4171" w:rsidRDefault="002D4171" w:rsidP="002D4171">
            <w:pPr>
              <w:spacing w:after="0" w:line="240" w:lineRule="auto"/>
              <w:jc w:val="center"/>
              <w:rPr>
                <w:rFonts w:ascii="Calibri" w:eastAsia="Times New Roman" w:hAnsi="Calibri" w:cs="Calibri"/>
                <w:color w:val="000000"/>
                <w:lang w:eastAsia="en-GB"/>
              </w:rPr>
            </w:pPr>
            <w:r w:rsidRPr="002D4171">
              <w:rPr>
                <w:rFonts w:ascii="Calibri" w:eastAsia="Times New Roman" w:hAnsi="Calibri" w:cs="Calibri"/>
                <w:color w:val="000000"/>
                <w:lang w:eastAsia="en-GB"/>
              </w:rPr>
              <w:t>Persons 000's</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jc w:val="center"/>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vAlign w:val="bottom"/>
            <w:hideMark/>
          </w:tcPr>
          <w:p w:rsidR="002D4171" w:rsidRPr="002D4171" w:rsidRDefault="002D4171" w:rsidP="00525900">
            <w:pPr>
              <w:spacing w:after="0" w:line="240" w:lineRule="auto"/>
              <w:jc w:val="center"/>
              <w:rPr>
                <w:rFonts w:ascii="Calibri" w:eastAsia="Times New Roman" w:hAnsi="Calibri" w:cs="Calibri"/>
                <w:color w:val="000000"/>
                <w:sz w:val="20"/>
                <w:szCs w:val="20"/>
                <w:lang w:eastAsia="en-GB"/>
              </w:rPr>
            </w:pPr>
            <w:r w:rsidRPr="002D4171">
              <w:rPr>
                <w:rFonts w:ascii="Calibri" w:eastAsia="Times New Roman" w:hAnsi="Calibri" w:cs="Calibri"/>
                <w:color w:val="000000"/>
                <w:sz w:val="20"/>
                <w:szCs w:val="20"/>
                <w:lang w:eastAsia="en-GB"/>
              </w:rPr>
              <w:t>000's</w:t>
            </w:r>
          </w:p>
        </w:tc>
        <w:tc>
          <w:tcPr>
            <w:tcW w:w="406" w:type="pct"/>
            <w:tcBorders>
              <w:top w:val="nil"/>
              <w:left w:val="nil"/>
              <w:bottom w:val="single" w:sz="4" w:space="0" w:color="auto"/>
              <w:right w:val="single" w:sz="4" w:space="0" w:color="auto"/>
            </w:tcBorders>
            <w:shd w:val="clear" w:color="auto" w:fill="auto"/>
            <w:vAlign w:val="bottom"/>
            <w:hideMark/>
          </w:tcPr>
          <w:p w:rsidR="002D4171" w:rsidRPr="002D4171" w:rsidRDefault="002D4171" w:rsidP="00525900">
            <w:pPr>
              <w:spacing w:after="0" w:line="240" w:lineRule="auto"/>
              <w:jc w:val="center"/>
              <w:rPr>
                <w:rFonts w:ascii="Calibri" w:eastAsia="Times New Roman" w:hAnsi="Calibri" w:cs="Calibri"/>
                <w:color w:val="000000"/>
                <w:sz w:val="20"/>
                <w:szCs w:val="20"/>
                <w:lang w:eastAsia="en-GB"/>
              </w:rPr>
            </w:pPr>
            <w:r w:rsidRPr="002D4171">
              <w:rPr>
                <w:rFonts w:ascii="Calibri" w:eastAsia="Times New Roman" w:hAnsi="Calibri" w:cs="Calibri"/>
                <w:color w:val="000000"/>
                <w:sz w:val="20"/>
                <w:szCs w:val="20"/>
                <w:lang w:eastAsia="en-GB"/>
              </w:rPr>
              <w:t>% of old estimate</w:t>
            </w:r>
          </w:p>
        </w:tc>
        <w:tc>
          <w:tcPr>
            <w:tcW w:w="101" w:type="pct"/>
            <w:tcBorders>
              <w:top w:val="nil"/>
              <w:left w:val="nil"/>
              <w:bottom w:val="nil"/>
              <w:right w:val="single" w:sz="4" w:space="0" w:color="auto"/>
            </w:tcBorders>
            <w:shd w:val="clear" w:color="000000" w:fill="F2F2F2"/>
            <w:vAlign w:val="bottom"/>
            <w:hideMark/>
          </w:tcPr>
          <w:p w:rsidR="002D4171" w:rsidRPr="002D4171" w:rsidRDefault="002D4171" w:rsidP="00525900">
            <w:pPr>
              <w:spacing w:after="0" w:line="240" w:lineRule="auto"/>
              <w:jc w:val="center"/>
              <w:rPr>
                <w:rFonts w:ascii="Calibri" w:eastAsia="Times New Roman" w:hAnsi="Calibri" w:cs="Calibri"/>
                <w:color w:val="000000"/>
                <w:sz w:val="20"/>
                <w:szCs w:val="20"/>
                <w:lang w:eastAsia="en-GB"/>
              </w:rPr>
            </w:pPr>
          </w:p>
        </w:tc>
        <w:tc>
          <w:tcPr>
            <w:tcW w:w="356" w:type="pct"/>
            <w:tcBorders>
              <w:top w:val="nil"/>
              <w:left w:val="nil"/>
              <w:bottom w:val="single" w:sz="4" w:space="0" w:color="auto"/>
              <w:right w:val="single" w:sz="4" w:space="0" w:color="auto"/>
            </w:tcBorders>
            <w:shd w:val="clear" w:color="auto" w:fill="auto"/>
            <w:vAlign w:val="bottom"/>
            <w:hideMark/>
          </w:tcPr>
          <w:p w:rsidR="002D4171" w:rsidRPr="002D4171" w:rsidRDefault="002D4171" w:rsidP="00525900">
            <w:pPr>
              <w:spacing w:after="0" w:line="240" w:lineRule="auto"/>
              <w:jc w:val="center"/>
              <w:rPr>
                <w:rFonts w:ascii="Calibri" w:eastAsia="Times New Roman" w:hAnsi="Calibri" w:cs="Calibri"/>
                <w:color w:val="000000"/>
                <w:sz w:val="20"/>
                <w:szCs w:val="20"/>
                <w:lang w:eastAsia="en-GB"/>
              </w:rPr>
            </w:pPr>
            <w:r w:rsidRPr="002D4171">
              <w:rPr>
                <w:rFonts w:ascii="Calibri" w:eastAsia="Times New Roman" w:hAnsi="Calibri" w:cs="Calibri"/>
                <w:color w:val="000000"/>
                <w:sz w:val="20"/>
                <w:szCs w:val="20"/>
                <w:lang w:eastAsia="en-GB"/>
              </w:rPr>
              <w:t>000's</w:t>
            </w:r>
          </w:p>
        </w:tc>
        <w:tc>
          <w:tcPr>
            <w:tcW w:w="379" w:type="pct"/>
            <w:tcBorders>
              <w:top w:val="nil"/>
              <w:left w:val="nil"/>
              <w:bottom w:val="single" w:sz="4" w:space="0" w:color="auto"/>
              <w:right w:val="single" w:sz="4" w:space="0" w:color="auto"/>
            </w:tcBorders>
            <w:shd w:val="clear" w:color="auto" w:fill="auto"/>
            <w:vAlign w:val="bottom"/>
            <w:hideMark/>
          </w:tcPr>
          <w:p w:rsidR="002D4171" w:rsidRPr="002D4171" w:rsidRDefault="002D4171" w:rsidP="00525900">
            <w:pPr>
              <w:spacing w:after="0" w:line="240" w:lineRule="auto"/>
              <w:jc w:val="center"/>
              <w:rPr>
                <w:rFonts w:ascii="Calibri" w:eastAsia="Times New Roman" w:hAnsi="Calibri" w:cs="Calibri"/>
                <w:color w:val="000000"/>
                <w:sz w:val="20"/>
                <w:szCs w:val="20"/>
                <w:lang w:eastAsia="en-GB"/>
              </w:rPr>
            </w:pPr>
            <w:r w:rsidRPr="002D4171">
              <w:rPr>
                <w:rFonts w:ascii="Calibri" w:eastAsia="Times New Roman" w:hAnsi="Calibri" w:cs="Calibri"/>
                <w:color w:val="000000"/>
                <w:sz w:val="20"/>
                <w:szCs w:val="20"/>
                <w:lang w:eastAsia="en-GB"/>
              </w:rPr>
              <w:t>% of old estimate</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b/>
                <w:bCs/>
                <w:i/>
                <w:iCs/>
                <w:color w:val="000000"/>
                <w:lang w:eastAsia="en-GB"/>
              </w:rPr>
            </w:pPr>
            <w:r w:rsidRPr="002D4171">
              <w:rPr>
                <w:rFonts w:ascii="Calibri" w:eastAsia="Times New Roman" w:hAnsi="Calibri" w:cs="Calibri"/>
                <w:b/>
                <w:bCs/>
                <w:i/>
                <w:iCs/>
                <w:color w:val="000000"/>
                <w:lang w:eastAsia="en-GB"/>
              </w:rPr>
              <w:t>Total</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38.4</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44.0</w:t>
            </w:r>
          </w:p>
        </w:tc>
        <w:tc>
          <w:tcPr>
            <w:tcW w:w="47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34.1</w:t>
            </w:r>
          </w:p>
        </w:tc>
        <w:tc>
          <w:tcPr>
            <w:tcW w:w="118"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-10.0</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-26</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-4.4</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-11</w:t>
            </w:r>
          </w:p>
        </w:tc>
      </w:tr>
      <w:tr w:rsidR="002D4171" w:rsidRPr="002D4171" w:rsidTr="003264D2">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b/>
                <w:bCs/>
                <w:i/>
                <w:iCs/>
                <w:color w:val="000000"/>
                <w:lang w:eastAsia="en-GB"/>
              </w:rPr>
            </w:pPr>
            <w:r w:rsidRPr="002D4171">
              <w:rPr>
                <w:rFonts w:ascii="Calibri" w:eastAsia="Times New Roman" w:hAnsi="Calibri" w:cs="Calibri"/>
                <w:b/>
                <w:bCs/>
                <w:i/>
                <w:iCs/>
                <w:color w:val="000000"/>
                <w:lang w:eastAsia="en-GB"/>
              </w:rPr>
              <w:t>Sex</w:t>
            </w:r>
          </w:p>
        </w:tc>
      </w:tr>
      <w:tr w:rsidR="003264D2" w:rsidRPr="002D4171" w:rsidTr="00525900">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Males</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22.4</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26.9</w:t>
            </w:r>
          </w:p>
        </w:tc>
        <w:tc>
          <w:tcPr>
            <w:tcW w:w="476" w:type="pct"/>
            <w:tcBorders>
              <w:top w:val="single" w:sz="4" w:space="0" w:color="auto"/>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21.2</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-5.7</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-25</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-1.2</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-5</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Females</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16.0</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17.1</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12.8</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-4.3</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-27</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-3.2</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-20</w:t>
            </w:r>
          </w:p>
        </w:tc>
      </w:tr>
      <w:tr w:rsidR="002D4171" w:rsidRPr="002D4171" w:rsidTr="003264D2">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b/>
                <w:bCs/>
                <w:i/>
                <w:iCs/>
                <w:color w:val="000000"/>
                <w:lang w:eastAsia="en-GB"/>
              </w:rPr>
            </w:pPr>
            <w:r w:rsidRPr="002D4171">
              <w:rPr>
                <w:rFonts w:ascii="Calibri" w:eastAsia="Times New Roman" w:hAnsi="Calibri" w:cs="Calibri"/>
                <w:b/>
                <w:bCs/>
                <w:i/>
                <w:iCs/>
                <w:color w:val="000000"/>
                <w:lang w:eastAsia="en-GB"/>
              </w:rPr>
              <w:t>Age</w:t>
            </w:r>
          </w:p>
        </w:tc>
      </w:tr>
      <w:tr w:rsidR="003264D2" w:rsidRPr="002D4171" w:rsidTr="00525900">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15-24 years</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6.8</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7.7</w:t>
            </w:r>
          </w:p>
        </w:tc>
        <w:tc>
          <w:tcPr>
            <w:tcW w:w="476" w:type="pct"/>
            <w:tcBorders>
              <w:top w:val="single" w:sz="4" w:space="0" w:color="auto"/>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5.8</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-1.9</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-28</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-1.0</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-14</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25-54 years</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27.1</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31.4</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24.1</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-7.3</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-27</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-3.0</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-11</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55-64 years</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4.4</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4.7</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3.9</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-0.8</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-19</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-0.5</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-11</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65+</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w:t>
            </w:r>
          </w:p>
        </w:tc>
      </w:tr>
      <w:tr w:rsidR="002D4171" w:rsidRPr="002D4171" w:rsidTr="003264D2">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b/>
                <w:bCs/>
                <w:i/>
                <w:iCs/>
                <w:color w:val="000000"/>
                <w:lang w:eastAsia="en-GB"/>
              </w:rPr>
            </w:pPr>
            <w:r w:rsidRPr="002D4171">
              <w:rPr>
                <w:rFonts w:ascii="Calibri" w:eastAsia="Times New Roman" w:hAnsi="Calibri" w:cs="Calibri"/>
                <w:b/>
                <w:bCs/>
                <w:i/>
                <w:iCs/>
                <w:color w:val="000000"/>
                <w:lang w:eastAsia="en-GB"/>
              </w:rPr>
              <w:t>Urban/Rural</w:t>
            </w:r>
          </w:p>
        </w:tc>
      </w:tr>
      <w:tr w:rsidR="003264D2" w:rsidRPr="002D4171" w:rsidTr="00525900">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Urban</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25.2</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25.4</w:t>
            </w:r>
          </w:p>
        </w:tc>
        <w:tc>
          <w:tcPr>
            <w:tcW w:w="476" w:type="pct"/>
            <w:tcBorders>
              <w:top w:val="single" w:sz="4" w:space="0" w:color="auto"/>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18.7</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-6.7</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-27</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-6.6</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-26</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Rural</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13.2</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18.7</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15.4</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-3.3</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-25</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2.2</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17</w:t>
            </w:r>
          </w:p>
        </w:tc>
      </w:tr>
      <w:tr w:rsidR="002D4171" w:rsidRPr="002D4171" w:rsidTr="003264D2">
        <w:trPr>
          <w:trHeight w:val="300"/>
        </w:trPr>
        <w:tc>
          <w:tcPr>
            <w:tcW w:w="5000" w:type="pct"/>
            <w:gridSpan w:val="10"/>
            <w:tcBorders>
              <w:top w:val="nil"/>
              <w:left w:val="single" w:sz="4" w:space="0" w:color="auto"/>
              <w:bottom w:val="nil"/>
              <w:right w:val="single" w:sz="4" w:space="0" w:color="000000"/>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b/>
                <w:bCs/>
                <w:i/>
                <w:iCs/>
                <w:color w:val="000000"/>
                <w:lang w:eastAsia="en-GB"/>
              </w:rPr>
            </w:pPr>
            <w:r w:rsidRPr="002D4171">
              <w:rPr>
                <w:rFonts w:ascii="Calibri" w:eastAsia="Times New Roman" w:hAnsi="Calibri" w:cs="Calibri"/>
                <w:b/>
                <w:bCs/>
                <w:i/>
                <w:iCs/>
                <w:color w:val="000000"/>
                <w:lang w:eastAsia="en-GB"/>
              </w:rPr>
              <w:t>Zone</w:t>
            </w:r>
          </w:p>
        </w:tc>
      </w:tr>
      <w:tr w:rsidR="003264D2" w:rsidRPr="002D4171" w:rsidTr="00525900">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North</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12.5</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14.2</w:t>
            </w:r>
          </w:p>
        </w:tc>
        <w:tc>
          <w:tcPr>
            <w:tcW w:w="476" w:type="pct"/>
            <w:tcBorders>
              <w:top w:val="single" w:sz="4" w:space="0" w:color="auto"/>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10.9</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-3.3</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-27</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-1.6</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-13</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Centre</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5.5</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8.3</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6.3</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-2.1</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-37</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0.7</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13</w:t>
            </w:r>
          </w:p>
        </w:tc>
      </w:tr>
      <w:tr w:rsidR="003264D2"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South</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4.3</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5.3</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4.0</w:t>
            </w:r>
          </w:p>
        </w:tc>
        <w:tc>
          <w:tcPr>
            <w:tcW w:w="118" w:type="pct"/>
            <w:tcBorders>
              <w:top w:val="nil"/>
              <w:left w:val="single" w:sz="4" w:space="0" w:color="auto"/>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-1.3</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-31</w:t>
            </w:r>
          </w:p>
        </w:tc>
        <w:tc>
          <w:tcPr>
            <w:tcW w:w="101" w:type="pct"/>
            <w:tcBorders>
              <w:top w:val="nil"/>
              <w:left w:val="nil"/>
              <w:bottom w:val="nil"/>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-0.2</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-6</w:t>
            </w:r>
          </w:p>
        </w:tc>
      </w:tr>
      <w:tr w:rsidR="00525900" w:rsidRPr="002D4171" w:rsidTr="00525900">
        <w:trPr>
          <w:trHeight w:val="300"/>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Municipality Chisinau</w:t>
            </w:r>
          </w:p>
        </w:tc>
        <w:tc>
          <w:tcPr>
            <w:tcW w:w="936"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16.2</w:t>
            </w:r>
          </w:p>
        </w:tc>
        <w:tc>
          <w:tcPr>
            <w:tcW w:w="963" w:type="pct"/>
            <w:tcBorders>
              <w:top w:val="nil"/>
              <w:left w:val="nil"/>
              <w:bottom w:val="single" w:sz="4" w:space="0" w:color="auto"/>
              <w:right w:val="single" w:sz="4" w:space="0" w:color="auto"/>
            </w:tcBorders>
            <w:shd w:val="clear" w:color="auto" w:fill="auto"/>
            <w:noWrap/>
            <w:vAlign w:val="center"/>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16.2</w:t>
            </w:r>
          </w:p>
        </w:tc>
        <w:tc>
          <w:tcPr>
            <w:tcW w:w="476" w:type="pct"/>
            <w:tcBorders>
              <w:top w:val="nil"/>
              <w:left w:val="nil"/>
              <w:bottom w:val="single" w:sz="4" w:space="0" w:color="auto"/>
              <w:right w:val="nil"/>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12.9</w:t>
            </w:r>
          </w:p>
        </w:tc>
        <w:tc>
          <w:tcPr>
            <w:tcW w:w="118" w:type="pct"/>
            <w:tcBorders>
              <w:top w:val="nil"/>
              <w:left w:val="single" w:sz="4" w:space="0" w:color="auto"/>
              <w:bottom w:val="single" w:sz="4" w:space="0" w:color="auto"/>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-3.2</w:t>
            </w:r>
          </w:p>
        </w:tc>
        <w:tc>
          <w:tcPr>
            <w:tcW w:w="40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-20</w:t>
            </w:r>
          </w:p>
        </w:tc>
        <w:tc>
          <w:tcPr>
            <w:tcW w:w="101" w:type="pct"/>
            <w:tcBorders>
              <w:top w:val="nil"/>
              <w:left w:val="nil"/>
              <w:bottom w:val="single" w:sz="4" w:space="0" w:color="auto"/>
              <w:right w:val="single" w:sz="4" w:space="0" w:color="auto"/>
            </w:tcBorders>
            <w:shd w:val="clear" w:color="000000" w:fill="F2F2F2"/>
            <w:noWrap/>
            <w:vAlign w:val="bottom"/>
            <w:hideMark/>
          </w:tcPr>
          <w:p w:rsidR="002D4171" w:rsidRPr="002D4171" w:rsidRDefault="002D4171" w:rsidP="002D4171">
            <w:pPr>
              <w:spacing w:after="0" w:line="240" w:lineRule="auto"/>
              <w:rPr>
                <w:rFonts w:ascii="Calibri" w:eastAsia="Times New Roman" w:hAnsi="Calibri" w:cs="Calibri"/>
                <w:color w:val="000000"/>
                <w:lang w:eastAsia="en-GB"/>
              </w:rPr>
            </w:pPr>
            <w:r w:rsidRPr="002D4171">
              <w:rPr>
                <w:rFonts w:ascii="Calibri" w:eastAsia="Times New Roman" w:hAnsi="Calibri" w:cs="Calibri"/>
                <w:color w:val="000000"/>
                <w:lang w:eastAsia="en-GB"/>
              </w:rPr>
              <w:t> </w:t>
            </w:r>
          </w:p>
        </w:tc>
        <w:tc>
          <w:tcPr>
            <w:tcW w:w="356"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-3.2</w:t>
            </w:r>
          </w:p>
        </w:tc>
        <w:tc>
          <w:tcPr>
            <w:tcW w:w="379" w:type="pct"/>
            <w:tcBorders>
              <w:top w:val="nil"/>
              <w:left w:val="nil"/>
              <w:bottom w:val="single" w:sz="4" w:space="0" w:color="auto"/>
              <w:right w:val="single" w:sz="4" w:space="0" w:color="auto"/>
            </w:tcBorders>
            <w:shd w:val="clear" w:color="auto" w:fill="auto"/>
            <w:noWrap/>
            <w:vAlign w:val="bottom"/>
            <w:hideMark/>
          </w:tcPr>
          <w:p w:rsidR="002D4171" w:rsidRPr="002D4171" w:rsidRDefault="002D4171" w:rsidP="002D4171">
            <w:pPr>
              <w:spacing w:after="0" w:line="240" w:lineRule="auto"/>
              <w:jc w:val="right"/>
              <w:rPr>
                <w:rFonts w:ascii="Calibri" w:eastAsia="Times New Roman" w:hAnsi="Calibri" w:cs="Calibri"/>
                <w:color w:val="000000"/>
                <w:lang w:eastAsia="en-GB"/>
              </w:rPr>
            </w:pPr>
            <w:r w:rsidRPr="002D4171">
              <w:rPr>
                <w:rFonts w:ascii="Calibri" w:eastAsia="Times New Roman" w:hAnsi="Calibri" w:cs="Calibri"/>
                <w:color w:val="000000"/>
                <w:lang w:eastAsia="en-GB"/>
              </w:rPr>
              <w:t>-20</w:t>
            </w:r>
          </w:p>
        </w:tc>
      </w:tr>
      <w:tr w:rsidR="003264D2" w:rsidRPr="002D4171" w:rsidTr="00525900">
        <w:trPr>
          <w:trHeight w:val="317"/>
        </w:trPr>
        <w:tc>
          <w:tcPr>
            <w:tcW w:w="1795" w:type="pct"/>
            <w:gridSpan w:val="2"/>
            <w:tcBorders>
              <w:top w:val="single" w:sz="4" w:space="0" w:color="auto"/>
            </w:tcBorders>
            <w:shd w:val="clear" w:color="auto" w:fill="auto"/>
            <w:noWrap/>
            <w:vAlign w:val="bottom"/>
          </w:tcPr>
          <w:p w:rsidR="003264D2" w:rsidRPr="003264D2" w:rsidRDefault="003264D2" w:rsidP="003264D2">
            <w:pPr>
              <w:spacing w:after="0" w:line="240" w:lineRule="auto"/>
              <w:rPr>
                <w:rFonts w:ascii="Calibri" w:eastAsia="Times New Roman" w:hAnsi="Calibri" w:cs="Calibri"/>
                <w:i/>
                <w:color w:val="000000"/>
                <w:lang w:eastAsia="en-GB"/>
              </w:rPr>
            </w:pPr>
            <w:r w:rsidRPr="003264D2">
              <w:rPr>
                <w:rFonts w:ascii="Calibri" w:eastAsia="Times New Roman" w:hAnsi="Calibri" w:cs="Calibri"/>
                <w:i/>
                <w:color w:val="000000"/>
                <w:sz w:val="18"/>
                <w:lang w:eastAsia="en-GB"/>
              </w:rPr>
              <w:t>* Too few observations to provide an estimate</w:t>
            </w:r>
          </w:p>
        </w:tc>
        <w:tc>
          <w:tcPr>
            <w:tcW w:w="963" w:type="pct"/>
            <w:tcBorders>
              <w:top w:val="single" w:sz="4" w:space="0" w:color="auto"/>
            </w:tcBorders>
            <w:shd w:val="clear" w:color="auto" w:fill="auto"/>
            <w:noWrap/>
            <w:vAlign w:val="center"/>
          </w:tcPr>
          <w:p w:rsidR="003264D2" w:rsidRPr="002D4171" w:rsidRDefault="003264D2" w:rsidP="002D4171">
            <w:pPr>
              <w:spacing w:after="0" w:line="240" w:lineRule="auto"/>
              <w:jc w:val="right"/>
              <w:rPr>
                <w:rFonts w:ascii="Calibri" w:eastAsia="Times New Roman" w:hAnsi="Calibri" w:cs="Calibri"/>
                <w:color w:val="000000"/>
                <w:lang w:eastAsia="en-GB"/>
              </w:rPr>
            </w:pPr>
          </w:p>
        </w:tc>
        <w:tc>
          <w:tcPr>
            <w:tcW w:w="476" w:type="pct"/>
            <w:tcBorders>
              <w:top w:val="single" w:sz="4" w:space="0" w:color="auto"/>
            </w:tcBorders>
            <w:shd w:val="clear" w:color="auto" w:fill="auto"/>
            <w:noWrap/>
            <w:vAlign w:val="bottom"/>
          </w:tcPr>
          <w:p w:rsidR="003264D2" w:rsidRPr="002D4171" w:rsidRDefault="003264D2" w:rsidP="002D4171">
            <w:pPr>
              <w:spacing w:after="0" w:line="240" w:lineRule="auto"/>
              <w:jc w:val="right"/>
              <w:rPr>
                <w:rFonts w:ascii="Calibri" w:eastAsia="Times New Roman" w:hAnsi="Calibri" w:cs="Calibri"/>
                <w:color w:val="000000"/>
                <w:lang w:eastAsia="en-GB"/>
              </w:rPr>
            </w:pPr>
          </w:p>
        </w:tc>
        <w:tc>
          <w:tcPr>
            <w:tcW w:w="118" w:type="pct"/>
            <w:tcBorders>
              <w:top w:val="single" w:sz="4" w:space="0" w:color="auto"/>
            </w:tcBorders>
            <w:shd w:val="clear" w:color="auto" w:fill="auto"/>
            <w:noWrap/>
            <w:vAlign w:val="bottom"/>
          </w:tcPr>
          <w:p w:rsidR="003264D2" w:rsidRPr="002D4171" w:rsidRDefault="003264D2" w:rsidP="002D4171">
            <w:pPr>
              <w:spacing w:after="0" w:line="240" w:lineRule="auto"/>
              <w:rPr>
                <w:rFonts w:ascii="Calibri" w:eastAsia="Times New Roman" w:hAnsi="Calibri" w:cs="Calibri"/>
                <w:color w:val="000000"/>
                <w:lang w:eastAsia="en-GB"/>
              </w:rPr>
            </w:pPr>
          </w:p>
        </w:tc>
        <w:tc>
          <w:tcPr>
            <w:tcW w:w="406" w:type="pct"/>
            <w:tcBorders>
              <w:top w:val="single" w:sz="4" w:space="0" w:color="auto"/>
            </w:tcBorders>
            <w:shd w:val="clear" w:color="auto" w:fill="auto"/>
            <w:noWrap/>
            <w:vAlign w:val="bottom"/>
          </w:tcPr>
          <w:p w:rsidR="003264D2" w:rsidRPr="002D4171" w:rsidRDefault="003264D2" w:rsidP="002D4171">
            <w:pPr>
              <w:spacing w:after="0" w:line="240" w:lineRule="auto"/>
              <w:jc w:val="right"/>
              <w:rPr>
                <w:rFonts w:ascii="Calibri" w:eastAsia="Times New Roman" w:hAnsi="Calibri" w:cs="Calibri"/>
                <w:color w:val="000000"/>
                <w:lang w:eastAsia="en-GB"/>
              </w:rPr>
            </w:pPr>
          </w:p>
        </w:tc>
        <w:tc>
          <w:tcPr>
            <w:tcW w:w="406" w:type="pct"/>
            <w:tcBorders>
              <w:top w:val="single" w:sz="4" w:space="0" w:color="auto"/>
            </w:tcBorders>
            <w:shd w:val="clear" w:color="auto" w:fill="auto"/>
            <w:noWrap/>
            <w:vAlign w:val="bottom"/>
          </w:tcPr>
          <w:p w:rsidR="003264D2" w:rsidRPr="002D4171" w:rsidRDefault="003264D2" w:rsidP="002D4171">
            <w:pPr>
              <w:spacing w:after="0" w:line="240" w:lineRule="auto"/>
              <w:jc w:val="right"/>
              <w:rPr>
                <w:rFonts w:ascii="Calibri" w:eastAsia="Times New Roman" w:hAnsi="Calibri" w:cs="Calibri"/>
                <w:color w:val="000000"/>
                <w:lang w:eastAsia="en-GB"/>
              </w:rPr>
            </w:pPr>
          </w:p>
        </w:tc>
        <w:tc>
          <w:tcPr>
            <w:tcW w:w="101" w:type="pct"/>
            <w:tcBorders>
              <w:top w:val="single" w:sz="4" w:space="0" w:color="auto"/>
            </w:tcBorders>
            <w:shd w:val="clear" w:color="auto" w:fill="auto"/>
            <w:noWrap/>
            <w:vAlign w:val="bottom"/>
          </w:tcPr>
          <w:p w:rsidR="003264D2" w:rsidRPr="002D4171" w:rsidRDefault="003264D2" w:rsidP="002D4171">
            <w:pPr>
              <w:spacing w:after="0" w:line="240" w:lineRule="auto"/>
              <w:rPr>
                <w:rFonts w:ascii="Calibri" w:eastAsia="Times New Roman" w:hAnsi="Calibri" w:cs="Calibri"/>
                <w:color w:val="000000"/>
                <w:lang w:eastAsia="en-GB"/>
              </w:rPr>
            </w:pPr>
          </w:p>
        </w:tc>
        <w:tc>
          <w:tcPr>
            <w:tcW w:w="356" w:type="pct"/>
            <w:tcBorders>
              <w:top w:val="single" w:sz="4" w:space="0" w:color="auto"/>
            </w:tcBorders>
            <w:shd w:val="clear" w:color="auto" w:fill="auto"/>
            <w:noWrap/>
            <w:vAlign w:val="bottom"/>
          </w:tcPr>
          <w:p w:rsidR="003264D2" w:rsidRPr="002D4171" w:rsidRDefault="003264D2" w:rsidP="002D4171">
            <w:pPr>
              <w:spacing w:after="0" w:line="240" w:lineRule="auto"/>
              <w:jc w:val="right"/>
              <w:rPr>
                <w:rFonts w:ascii="Calibri" w:eastAsia="Times New Roman" w:hAnsi="Calibri" w:cs="Calibri"/>
                <w:color w:val="000000"/>
                <w:lang w:eastAsia="en-GB"/>
              </w:rPr>
            </w:pPr>
          </w:p>
        </w:tc>
        <w:tc>
          <w:tcPr>
            <w:tcW w:w="379" w:type="pct"/>
            <w:tcBorders>
              <w:top w:val="single" w:sz="4" w:space="0" w:color="auto"/>
            </w:tcBorders>
            <w:shd w:val="clear" w:color="auto" w:fill="auto"/>
            <w:noWrap/>
            <w:vAlign w:val="bottom"/>
          </w:tcPr>
          <w:p w:rsidR="003264D2" w:rsidRPr="002D4171" w:rsidRDefault="003264D2" w:rsidP="002D4171">
            <w:pPr>
              <w:spacing w:after="0" w:line="240" w:lineRule="auto"/>
              <w:jc w:val="right"/>
              <w:rPr>
                <w:rFonts w:ascii="Calibri" w:eastAsia="Times New Roman" w:hAnsi="Calibri" w:cs="Calibri"/>
                <w:color w:val="000000"/>
                <w:lang w:eastAsia="en-GB"/>
              </w:rPr>
            </w:pPr>
          </w:p>
        </w:tc>
      </w:tr>
    </w:tbl>
    <w:p w:rsidR="002D4171" w:rsidRDefault="002D4171" w:rsidP="00E53922">
      <w:pPr>
        <w:jc w:val="both"/>
        <w:sectPr w:rsidR="002D4171" w:rsidSect="002D4171">
          <w:pgSz w:w="16838" w:h="11906" w:orient="landscape"/>
          <w:pgMar w:top="1440" w:right="1440" w:bottom="1440" w:left="1440" w:header="708" w:footer="708" w:gutter="0"/>
          <w:cols w:space="708"/>
          <w:docGrid w:linePitch="360"/>
        </w:sectPr>
      </w:pPr>
    </w:p>
    <w:p w:rsidR="00525900" w:rsidRPr="00525900" w:rsidRDefault="00525900" w:rsidP="00E53922">
      <w:pPr>
        <w:jc w:val="both"/>
        <w:rPr>
          <w:i/>
        </w:rPr>
      </w:pPr>
      <w:r>
        <w:rPr>
          <w:i/>
        </w:rPr>
        <w:lastRenderedPageBreak/>
        <w:t>Unemployment rate</w:t>
      </w:r>
    </w:p>
    <w:p w:rsidR="00525900" w:rsidRDefault="00525900" w:rsidP="00E53922">
      <w:pPr>
        <w:jc w:val="both"/>
      </w:pPr>
      <w:r>
        <w:t>Like the employment to population ratio</w:t>
      </w:r>
      <w:r w:rsidR="00D16222">
        <w:t xml:space="preserve"> the unemployment rate is impacted if the distribution of the population changes. In the case of the unemployment rate the estimates after the new population definitions and estimates were applied were very close (almost identical) to those using the old population estimates. At the total level the unemployment rate was the same using the old and new population estimates (4.1%, see table 8). This means only the introduction of the new standards had an impact on the unemployment rate, increasing it from 3.0% to 4.1%. The greatest impact of the new population estimates on the unemployment rate for any subgroup was 0.2 percentage point</w:t>
      </w:r>
      <w:r w:rsidR="001D7819">
        <w:t>s</w:t>
      </w:r>
      <w:r w:rsidR="00D16222">
        <w:t>, a level of difference</w:t>
      </w:r>
      <w:r w:rsidR="00D85CD1">
        <w:t>,</w:t>
      </w:r>
      <w:r w:rsidR="00D16222">
        <w:t xml:space="preserve"> which is not statistically significant.</w:t>
      </w:r>
    </w:p>
    <w:p w:rsidR="008B7000" w:rsidRDefault="008B7000" w:rsidP="00E53922">
      <w:pPr>
        <w:jc w:val="both"/>
      </w:pPr>
      <w:r>
        <w:t>This pattern was similar across most zones. The introduction of the new standards in general caused a higher unemployment rate to be recorded, while the change in population definition and estimates had little impact. The only exception was in Chisinau where neither change had a large impact on the unemployment rate (old estimate 4.8%, new estimate 5.0%).</w:t>
      </w:r>
    </w:p>
    <w:p w:rsidR="00D85CD1" w:rsidRDefault="008B7000" w:rsidP="00E53922">
      <w:pPr>
        <w:jc w:val="both"/>
      </w:pPr>
      <w:r>
        <w:rPr>
          <w:noProof/>
          <w:lang w:val="ru-RU" w:eastAsia="ru-RU"/>
        </w:rPr>
        <w:drawing>
          <wp:inline distT="0" distB="0" distL="0" distR="0">
            <wp:extent cx="5731510" cy="3771265"/>
            <wp:effectExtent l="0" t="0" r="254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5CD1" w:rsidRDefault="00D85CD1" w:rsidP="00E53922">
      <w:pPr>
        <w:jc w:val="both"/>
      </w:pPr>
    </w:p>
    <w:p w:rsidR="00D85CD1" w:rsidRDefault="00D85CD1" w:rsidP="00E53922">
      <w:pPr>
        <w:jc w:val="both"/>
        <w:sectPr w:rsidR="00D85CD1" w:rsidSect="00C641DA">
          <w:pgSz w:w="11906" w:h="16838"/>
          <w:pgMar w:top="1440" w:right="1440" w:bottom="1440" w:left="1440" w:header="708" w:footer="708" w:gutter="0"/>
          <w:cols w:space="708"/>
          <w:docGrid w:linePitch="360"/>
        </w:sectPr>
      </w:pPr>
    </w:p>
    <w:tbl>
      <w:tblPr>
        <w:tblW w:w="13467" w:type="dxa"/>
        <w:tblLook w:val="04A0"/>
      </w:tblPr>
      <w:tblGrid>
        <w:gridCol w:w="2558"/>
        <w:gridCol w:w="2782"/>
        <w:gridCol w:w="3320"/>
        <w:gridCol w:w="1760"/>
        <w:gridCol w:w="266"/>
        <w:gridCol w:w="1221"/>
        <w:gridCol w:w="284"/>
        <w:gridCol w:w="1276"/>
      </w:tblGrid>
      <w:tr w:rsidR="00525900" w:rsidRPr="00525900" w:rsidTr="00525900">
        <w:trPr>
          <w:trHeight w:val="300"/>
        </w:trPr>
        <w:tc>
          <w:tcPr>
            <w:tcW w:w="8660" w:type="dxa"/>
            <w:gridSpan w:val="3"/>
            <w:tcBorders>
              <w:top w:val="nil"/>
              <w:left w:val="nil"/>
              <w:bottom w:val="nil"/>
              <w:right w:val="nil"/>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b/>
                <w:color w:val="000000"/>
                <w:lang w:eastAsia="en-GB"/>
              </w:rPr>
              <w:lastRenderedPageBreak/>
              <w:t>Table 8 - Impact of changes</w:t>
            </w:r>
            <w:r>
              <w:rPr>
                <w:rFonts w:ascii="Calibri" w:eastAsia="Times New Roman" w:hAnsi="Calibri" w:cs="Calibri"/>
                <w:b/>
                <w:color w:val="000000"/>
                <w:lang w:eastAsia="en-GB"/>
              </w:rPr>
              <w:t xml:space="preserve"> </w:t>
            </w:r>
            <w:r w:rsidRPr="00525900">
              <w:rPr>
                <w:rFonts w:ascii="Calibri" w:eastAsia="Times New Roman" w:hAnsi="Calibri" w:cs="Calibri"/>
                <w:b/>
                <w:color w:val="000000"/>
                <w:lang w:eastAsia="en-GB"/>
              </w:rPr>
              <w:t xml:space="preserve">on </w:t>
            </w:r>
            <w:r>
              <w:rPr>
                <w:rFonts w:ascii="Calibri" w:eastAsia="Times New Roman" w:hAnsi="Calibri" w:cs="Calibri"/>
                <w:b/>
                <w:color w:val="000000"/>
                <w:lang w:eastAsia="en-GB"/>
              </w:rPr>
              <w:t xml:space="preserve">the </w:t>
            </w:r>
            <w:r w:rsidRPr="00525900">
              <w:rPr>
                <w:rFonts w:ascii="Calibri" w:eastAsia="Times New Roman" w:hAnsi="Calibri" w:cs="Calibri"/>
                <w:b/>
                <w:color w:val="000000"/>
                <w:lang w:eastAsia="en-GB"/>
              </w:rPr>
              <w:t>unemployment rate, 2018</w:t>
            </w:r>
          </w:p>
        </w:tc>
        <w:tc>
          <w:tcPr>
            <w:tcW w:w="1760" w:type="dxa"/>
            <w:tcBorders>
              <w:top w:val="nil"/>
              <w:left w:val="nil"/>
              <w:bottom w:val="nil"/>
              <w:right w:val="nil"/>
            </w:tcBorders>
            <w:shd w:val="clear" w:color="auto" w:fill="auto"/>
            <w:noWrap/>
            <w:vAlign w:val="bottom"/>
            <w:hideMark/>
          </w:tcPr>
          <w:p w:rsidR="00525900" w:rsidRPr="00525900" w:rsidRDefault="00525900" w:rsidP="0052590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rsidR="00525900" w:rsidRPr="00525900" w:rsidRDefault="00525900" w:rsidP="00525900">
            <w:pPr>
              <w:spacing w:after="0" w:line="240" w:lineRule="auto"/>
              <w:rPr>
                <w:rFonts w:ascii="Times New Roman" w:eastAsia="Times New Roman" w:hAnsi="Times New Roman" w:cs="Times New Roman"/>
                <w:sz w:val="20"/>
                <w:szCs w:val="20"/>
                <w:lang w:eastAsia="en-GB"/>
              </w:rPr>
            </w:pPr>
          </w:p>
        </w:tc>
        <w:tc>
          <w:tcPr>
            <w:tcW w:w="1221" w:type="dxa"/>
            <w:tcBorders>
              <w:top w:val="nil"/>
              <w:left w:val="nil"/>
              <w:bottom w:val="nil"/>
              <w:right w:val="nil"/>
            </w:tcBorders>
            <w:shd w:val="clear" w:color="auto" w:fill="auto"/>
            <w:noWrap/>
            <w:vAlign w:val="bottom"/>
            <w:hideMark/>
          </w:tcPr>
          <w:p w:rsidR="00525900" w:rsidRPr="00525900" w:rsidRDefault="00525900" w:rsidP="00525900">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rsidR="00525900" w:rsidRPr="00525900" w:rsidRDefault="00525900" w:rsidP="00525900">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525900" w:rsidRPr="00525900" w:rsidRDefault="00525900" w:rsidP="00525900">
            <w:pPr>
              <w:spacing w:after="0" w:line="240" w:lineRule="auto"/>
              <w:rPr>
                <w:rFonts w:ascii="Times New Roman" w:eastAsia="Times New Roman" w:hAnsi="Times New Roman" w:cs="Times New Roman"/>
                <w:sz w:val="20"/>
                <w:szCs w:val="20"/>
                <w:lang w:eastAsia="en-GB"/>
              </w:rPr>
            </w:pPr>
          </w:p>
        </w:tc>
      </w:tr>
      <w:tr w:rsidR="00525900" w:rsidRPr="00525900" w:rsidTr="00525900">
        <w:trPr>
          <w:trHeight w:val="300"/>
        </w:trPr>
        <w:tc>
          <w:tcPr>
            <w:tcW w:w="25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7862"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525900" w:rsidRPr="00525900" w:rsidRDefault="00525900" w:rsidP="00525900">
            <w:pPr>
              <w:spacing w:after="0" w:line="240" w:lineRule="auto"/>
              <w:jc w:val="center"/>
              <w:rPr>
                <w:rFonts w:ascii="Calibri" w:eastAsia="Times New Roman" w:hAnsi="Calibri" w:cs="Calibri"/>
                <w:b/>
                <w:bCs/>
                <w:color w:val="000000"/>
                <w:lang w:eastAsia="en-GB"/>
              </w:rPr>
            </w:pPr>
            <w:r w:rsidRPr="00525900">
              <w:rPr>
                <w:rFonts w:ascii="Calibri" w:eastAsia="Times New Roman" w:hAnsi="Calibri" w:cs="Calibri"/>
                <w:b/>
                <w:bCs/>
                <w:color w:val="000000"/>
                <w:lang w:eastAsia="en-GB"/>
              </w:rPr>
              <w:t>2018 average</w:t>
            </w:r>
          </w:p>
        </w:tc>
        <w:tc>
          <w:tcPr>
            <w:tcW w:w="266" w:type="dxa"/>
            <w:tcBorders>
              <w:top w:val="single" w:sz="4" w:space="0" w:color="auto"/>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jc w:val="center"/>
              <w:rPr>
                <w:rFonts w:ascii="Calibri" w:eastAsia="Times New Roman" w:hAnsi="Calibri" w:cs="Calibri"/>
                <w:b/>
                <w:bCs/>
                <w:color w:val="000000"/>
                <w:lang w:eastAsia="en-GB"/>
              </w:rPr>
            </w:pPr>
            <w:r w:rsidRPr="00525900">
              <w:rPr>
                <w:rFonts w:ascii="Calibri" w:eastAsia="Times New Roman" w:hAnsi="Calibri" w:cs="Calibri"/>
                <w:b/>
                <w:bCs/>
                <w:color w:val="000000"/>
                <w:lang w:eastAsia="en-GB"/>
              </w:rPr>
              <w:t> </w:t>
            </w:r>
          </w:p>
        </w:tc>
        <w:tc>
          <w:tcPr>
            <w:tcW w:w="1221" w:type="dxa"/>
            <w:tcBorders>
              <w:top w:val="single" w:sz="4" w:space="0" w:color="auto"/>
              <w:left w:val="nil"/>
              <w:bottom w:val="single" w:sz="4" w:space="0" w:color="auto"/>
              <w:right w:val="single" w:sz="4" w:space="0" w:color="auto"/>
            </w:tcBorders>
            <w:shd w:val="clear" w:color="000000" w:fill="D9D9D9"/>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284" w:type="dxa"/>
            <w:tcBorders>
              <w:top w:val="single" w:sz="4" w:space="0" w:color="auto"/>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r>
      <w:tr w:rsidR="00525900" w:rsidRPr="00525900" w:rsidTr="00525900">
        <w:trPr>
          <w:trHeight w:val="1374"/>
        </w:trPr>
        <w:tc>
          <w:tcPr>
            <w:tcW w:w="2558" w:type="dxa"/>
            <w:tcBorders>
              <w:top w:val="nil"/>
              <w:left w:val="single" w:sz="4" w:space="0" w:color="auto"/>
              <w:bottom w:val="single" w:sz="4" w:space="0" w:color="auto"/>
              <w:right w:val="single" w:sz="4" w:space="0" w:color="auto"/>
            </w:tcBorders>
            <w:shd w:val="clear" w:color="000000" w:fill="D9D9D9"/>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2782" w:type="dxa"/>
            <w:tcBorders>
              <w:top w:val="nil"/>
              <w:left w:val="nil"/>
              <w:bottom w:val="single" w:sz="4" w:space="0" w:color="auto"/>
              <w:right w:val="single" w:sz="4" w:space="0" w:color="auto"/>
            </w:tcBorders>
            <w:shd w:val="clear" w:color="auto" w:fill="auto"/>
            <w:vAlign w:val="bottom"/>
            <w:hideMark/>
          </w:tcPr>
          <w:p w:rsidR="00525900" w:rsidRPr="00525900" w:rsidRDefault="00525900" w:rsidP="00525900">
            <w:pPr>
              <w:spacing w:after="0" w:line="240" w:lineRule="auto"/>
              <w:rPr>
                <w:rFonts w:ascii="Calibri" w:eastAsia="Times New Roman" w:hAnsi="Calibri" w:cs="Calibri"/>
                <w:b/>
                <w:bCs/>
                <w:color w:val="000000"/>
                <w:lang w:eastAsia="en-GB"/>
              </w:rPr>
            </w:pPr>
            <w:r w:rsidRPr="00525900">
              <w:rPr>
                <w:rFonts w:ascii="Calibri" w:eastAsia="Times New Roman" w:hAnsi="Calibri" w:cs="Calibri"/>
                <w:b/>
                <w:bCs/>
                <w:color w:val="000000"/>
                <w:lang w:eastAsia="en-GB"/>
              </w:rPr>
              <w:t>Old standards, stable population (old estimate)</w:t>
            </w:r>
          </w:p>
        </w:tc>
        <w:tc>
          <w:tcPr>
            <w:tcW w:w="3320" w:type="dxa"/>
            <w:tcBorders>
              <w:top w:val="nil"/>
              <w:left w:val="nil"/>
              <w:bottom w:val="single" w:sz="4" w:space="0" w:color="auto"/>
              <w:right w:val="single" w:sz="4" w:space="0" w:color="auto"/>
            </w:tcBorders>
            <w:shd w:val="clear" w:color="auto" w:fill="auto"/>
            <w:vAlign w:val="bottom"/>
            <w:hideMark/>
          </w:tcPr>
          <w:p w:rsidR="00525900" w:rsidRPr="00525900" w:rsidRDefault="00525900" w:rsidP="00525900">
            <w:pPr>
              <w:spacing w:after="0" w:line="240" w:lineRule="auto"/>
              <w:rPr>
                <w:rFonts w:ascii="Calibri" w:eastAsia="Times New Roman" w:hAnsi="Calibri" w:cs="Calibri"/>
                <w:b/>
                <w:bCs/>
                <w:color w:val="000000"/>
                <w:lang w:eastAsia="en-GB"/>
              </w:rPr>
            </w:pPr>
            <w:r w:rsidRPr="00525900">
              <w:rPr>
                <w:rFonts w:ascii="Calibri" w:eastAsia="Times New Roman" w:hAnsi="Calibri" w:cs="Calibri"/>
                <w:b/>
                <w:bCs/>
                <w:color w:val="000000"/>
                <w:lang w:eastAsia="en-GB"/>
              </w:rPr>
              <w:t>New Standards, stable population</w:t>
            </w:r>
          </w:p>
        </w:tc>
        <w:tc>
          <w:tcPr>
            <w:tcW w:w="1760" w:type="dxa"/>
            <w:tcBorders>
              <w:top w:val="nil"/>
              <w:left w:val="nil"/>
              <w:bottom w:val="single" w:sz="4" w:space="0" w:color="auto"/>
              <w:right w:val="nil"/>
            </w:tcBorders>
            <w:shd w:val="clear" w:color="auto" w:fill="auto"/>
            <w:vAlign w:val="bottom"/>
            <w:hideMark/>
          </w:tcPr>
          <w:p w:rsidR="00525900" w:rsidRPr="00525900" w:rsidRDefault="00525900" w:rsidP="00525900">
            <w:pPr>
              <w:spacing w:after="0" w:line="240" w:lineRule="auto"/>
              <w:rPr>
                <w:rFonts w:ascii="Calibri" w:eastAsia="Times New Roman" w:hAnsi="Calibri" w:cs="Calibri"/>
                <w:b/>
                <w:bCs/>
                <w:color w:val="000000"/>
                <w:lang w:eastAsia="en-GB"/>
              </w:rPr>
            </w:pPr>
            <w:r w:rsidRPr="00525900">
              <w:rPr>
                <w:rFonts w:ascii="Calibri" w:eastAsia="Times New Roman" w:hAnsi="Calibri" w:cs="Calibri"/>
                <w:b/>
                <w:bCs/>
                <w:color w:val="000000"/>
                <w:lang w:eastAsia="en-GB"/>
              </w:rPr>
              <w:t>New Standards, new population (new estimate)</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b/>
                <w:bCs/>
                <w:color w:val="000000"/>
                <w:lang w:eastAsia="en-GB"/>
              </w:rPr>
            </w:pPr>
            <w:r w:rsidRPr="00525900">
              <w:rPr>
                <w:rFonts w:ascii="Calibri" w:eastAsia="Times New Roman" w:hAnsi="Calibri" w:cs="Calibri"/>
                <w:b/>
                <w:bCs/>
                <w:color w:val="000000"/>
                <w:lang w:eastAsia="en-GB"/>
              </w:rPr>
              <w:t> </w:t>
            </w:r>
          </w:p>
        </w:tc>
        <w:tc>
          <w:tcPr>
            <w:tcW w:w="1221" w:type="dxa"/>
            <w:tcBorders>
              <w:top w:val="nil"/>
              <w:left w:val="nil"/>
              <w:bottom w:val="single" w:sz="4" w:space="0" w:color="auto"/>
              <w:right w:val="single" w:sz="4" w:space="0" w:color="auto"/>
            </w:tcBorders>
            <w:shd w:val="clear" w:color="auto" w:fill="auto"/>
            <w:vAlign w:val="bottom"/>
            <w:hideMark/>
          </w:tcPr>
          <w:p w:rsidR="00525900" w:rsidRPr="00525900" w:rsidRDefault="00525900" w:rsidP="00525900">
            <w:pPr>
              <w:spacing w:after="0" w:line="240" w:lineRule="auto"/>
              <w:jc w:val="center"/>
              <w:rPr>
                <w:rFonts w:ascii="Calibri" w:eastAsia="Times New Roman" w:hAnsi="Calibri" w:cs="Calibri"/>
                <w:color w:val="000000"/>
                <w:lang w:eastAsia="en-GB"/>
              </w:rPr>
            </w:pPr>
            <w:r w:rsidRPr="00525900">
              <w:rPr>
                <w:rFonts w:ascii="Calibri" w:eastAsia="Times New Roman" w:hAnsi="Calibri" w:cs="Calibri"/>
                <w:color w:val="000000"/>
                <w:lang w:eastAsia="en-GB"/>
              </w:rPr>
              <w:t>Change due to population estimates</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vAlign w:val="bottom"/>
            <w:hideMark/>
          </w:tcPr>
          <w:p w:rsidR="00525900" w:rsidRPr="00525900" w:rsidRDefault="00525900" w:rsidP="00525900">
            <w:pPr>
              <w:spacing w:after="0" w:line="240" w:lineRule="auto"/>
              <w:jc w:val="center"/>
              <w:rPr>
                <w:rFonts w:ascii="Calibri" w:eastAsia="Times New Roman" w:hAnsi="Calibri" w:cs="Calibri"/>
                <w:color w:val="000000"/>
                <w:lang w:eastAsia="en-GB"/>
              </w:rPr>
            </w:pPr>
            <w:r w:rsidRPr="00525900">
              <w:rPr>
                <w:rFonts w:ascii="Calibri" w:eastAsia="Times New Roman" w:hAnsi="Calibri" w:cs="Calibri"/>
                <w:color w:val="000000"/>
                <w:lang w:eastAsia="en-GB"/>
              </w:rPr>
              <w:t>Total change (old to new estimate)</w:t>
            </w:r>
          </w:p>
        </w:tc>
      </w:tr>
      <w:tr w:rsidR="00525900" w:rsidRPr="00525900" w:rsidTr="00525900">
        <w:trPr>
          <w:trHeight w:val="525"/>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7862" w:type="dxa"/>
            <w:gridSpan w:val="3"/>
            <w:tcBorders>
              <w:top w:val="single" w:sz="4" w:space="0" w:color="auto"/>
              <w:left w:val="nil"/>
              <w:bottom w:val="single" w:sz="4" w:space="0" w:color="auto"/>
              <w:right w:val="nil"/>
            </w:tcBorders>
            <w:shd w:val="clear" w:color="auto" w:fill="auto"/>
            <w:noWrap/>
            <w:vAlign w:val="center"/>
            <w:hideMark/>
          </w:tcPr>
          <w:p w:rsidR="00525900" w:rsidRPr="00525900" w:rsidRDefault="00525900" w:rsidP="00525900">
            <w:pPr>
              <w:spacing w:after="0" w:line="240" w:lineRule="auto"/>
              <w:jc w:val="center"/>
              <w:rPr>
                <w:rFonts w:ascii="Calibri" w:eastAsia="Times New Roman" w:hAnsi="Calibri" w:cs="Calibri"/>
                <w:color w:val="000000"/>
                <w:lang w:eastAsia="en-GB"/>
              </w:rPr>
            </w:pPr>
            <w:r w:rsidRPr="00525900">
              <w:rPr>
                <w:rFonts w:ascii="Calibri" w:eastAsia="Times New Roman" w:hAnsi="Calibri" w:cs="Calibri"/>
                <w:color w:val="000000"/>
                <w:lang w:eastAsia="en-GB"/>
              </w:rPr>
              <w:t>Persons 000's</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jc w:val="center"/>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vAlign w:val="bottom"/>
            <w:hideMark/>
          </w:tcPr>
          <w:p w:rsidR="00525900" w:rsidRPr="00525900" w:rsidRDefault="00525900" w:rsidP="00525900">
            <w:pPr>
              <w:spacing w:after="0" w:line="240" w:lineRule="auto"/>
              <w:jc w:val="center"/>
              <w:rPr>
                <w:rFonts w:ascii="Calibri" w:eastAsia="Times New Roman" w:hAnsi="Calibri" w:cs="Calibri"/>
                <w:color w:val="000000"/>
                <w:sz w:val="20"/>
                <w:szCs w:val="20"/>
                <w:lang w:eastAsia="en-GB"/>
              </w:rPr>
            </w:pPr>
            <w:r w:rsidRPr="00525900">
              <w:rPr>
                <w:rFonts w:ascii="Calibri" w:eastAsia="Times New Roman" w:hAnsi="Calibri" w:cs="Calibri"/>
                <w:color w:val="000000"/>
                <w:sz w:val="20"/>
                <w:szCs w:val="20"/>
                <w:lang w:eastAsia="en-GB"/>
              </w:rPr>
              <w:t>percentage points</w:t>
            </w:r>
          </w:p>
        </w:tc>
        <w:tc>
          <w:tcPr>
            <w:tcW w:w="284" w:type="dxa"/>
            <w:tcBorders>
              <w:top w:val="nil"/>
              <w:left w:val="nil"/>
              <w:bottom w:val="nil"/>
              <w:right w:val="single" w:sz="4" w:space="0" w:color="auto"/>
            </w:tcBorders>
            <w:shd w:val="clear" w:color="000000" w:fill="F2F2F2"/>
            <w:vAlign w:val="bottom"/>
            <w:hideMark/>
          </w:tcPr>
          <w:p w:rsidR="00525900" w:rsidRPr="00525900" w:rsidRDefault="00525900" w:rsidP="00525900">
            <w:pPr>
              <w:spacing w:after="0" w:line="240" w:lineRule="auto"/>
              <w:jc w:val="center"/>
              <w:rPr>
                <w:rFonts w:ascii="Calibri" w:eastAsia="Times New Roman" w:hAnsi="Calibri" w:cs="Calibri"/>
                <w:color w:val="000000"/>
                <w:sz w:val="20"/>
                <w:szCs w:val="20"/>
                <w:lang w:eastAsia="en-GB"/>
              </w:rPr>
            </w:pPr>
            <w:r w:rsidRPr="00525900">
              <w:rPr>
                <w:rFonts w:ascii="Calibri" w:eastAsia="Times New Roman" w:hAnsi="Calibri" w:cs="Calibri"/>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vAlign w:val="bottom"/>
            <w:hideMark/>
          </w:tcPr>
          <w:p w:rsidR="00525900" w:rsidRPr="00525900" w:rsidRDefault="00525900" w:rsidP="00525900">
            <w:pPr>
              <w:spacing w:after="0" w:line="240" w:lineRule="auto"/>
              <w:jc w:val="center"/>
              <w:rPr>
                <w:rFonts w:ascii="Calibri" w:eastAsia="Times New Roman" w:hAnsi="Calibri" w:cs="Calibri"/>
                <w:color w:val="000000"/>
                <w:sz w:val="20"/>
                <w:szCs w:val="20"/>
                <w:lang w:eastAsia="en-GB"/>
              </w:rPr>
            </w:pPr>
            <w:r w:rsidRPr="00525900">
              <w:rPr>
                <w:rFonts w:ascii="Calibri" w:eastAsia="Times New Roman" w:hAnsi="Calibri" w:cs="Calibri"/>
                <w:color w:val="000000"/>
                <w:sz w:val="20"/>
                <w:szCs w:val="20"/>
                <w:lang w:eastAsia="en-GB"/>
              </w:rPr>
              <w:t>percentage points</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b/>
                <w:bCs/>
                <w:i/>
                <w:iCs/>
                <w:color w:val="000000"/>
                <w:lang w:eastAsia="en-GB"/>
              </w:rPr>
            </w:pPr>
            <w:r w:rsidRPr="00525900">
              <w:rPr>
                <w:rFonts w:ascii="Calibri" w:eastAsia="Times New Roman" w:hAnsi="Calibri" w:cs="Calibri"/>
                <w:b/>
                <w:bCs/>
                <w:i/>
                <w:iCs/>
                <w:color w:val="000000"/>
                <w:lang w:eastAsia="en-GB"/>
              </w:rPr>
              <w:t>Total</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3.0</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4.1</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4.1</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0.0</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1.1</w:t>
            </w:r>
          </w:p>
        </w:tc>
      </w:tr>
      <w:tr w:rsidR="00525900" w:rsidRPr="00525900" w:rsidTr="00525900">
        <w:trPr>
          <w:trHeight w:val="300"/>
        </w:trPr>
        <w:tc>
          <w:tcPr>
            <w:tcW w:w="13467" w:type="dxa"/>
            <w:gridSpan w:val="8"/>
            <w:tcBorders>
              <w:top w:val="nil"/>
              <w:left w:val="single" w:sz="4" w:space="0" w:color="auto"/>
              <w:bottom w:val="nil"/>
              <w:right w:val="nil"/>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b/>
                <w:bCs/>
                <w:i/>
                <w:iCs/>
                <w:color w:val="000000"/>
                <w:lang w:eastAsia="en-GB"/>
              </w:rPr>
            </w:pPr>
            <w:r w:rsidRPr="00525900">
              <w:rPr>
                <w:rFonts w:ascii="Calibri" w:eastAsia="Times New Roman" w:hAnsi="Calibri" w:cs="Calibri"/>
                <w:b/>
                <w:bCs/>
                <w:i/>
                <w:iCs/>
                <w:color w:val="000000"/>
                <w:lang w:eastAsia="en-GB"/>
              </w:rPr>
              <w:t>Sex</w:t>
            </w:r>
          </w:p>
        </w:tc>
      </w:tr>
      <w:tr w:rsidR="00525900" w:rsidRPr="00525900" w:rsidTr="00525900">
        <w:trPr>
          <w:trHeight w:val="300"/>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Males</w:t>
            </w:r>
          </w:p>
        </w:tc>
        <w:tc>
          <w:tcPr>
            <w:tcW w:w="2782"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3.5</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5.1</w:t>
            </w:r>
          </w:p>
        </w:tc>
        <w:tc>
          <w:tcPr>
            <w:tcW w:w="1760" w:type="dxa"/>
            <w:tcBorders>
              <w:top w:val="single" w:sz="4" w:space="0" w:color="auto"/>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5.1</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0.0</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1.6</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Females</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2.5</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3.2</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3.1</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-0.1</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0.6</w:t>
            </w:r>
          </w:p>
        </w:tc>
      </w:tr>
      <w:tr w:rsidR="00525900" w:rsidRPr="00525900" w:rsidTr="00525900">
        <w:trPr>
          <w:trHeight w:val="300"/>
        </w:trPr>
        <w:tc>
          <w:tcPr>
            <w:tcW w:w="13467" w:type="dxa"/>
            <w:gridSpan w:val="8"/>
            <w:tcBorders>
              <w:top w:val="nil"/>
              <w:left w:val="single" w:sz="4" w:space="0" w:color="auto"/>
              <w:bottom w:val="nil"/>
              <w:right w:val="nil"/>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b/>
                <w:bCs/>
                <w:i/>
                <w:iCs/>
                <w:color w:val="000000"/>
                <w:lang w:eastAsia="en-GB"/>
              </w:rPr>
            </w:pPr>
            <w:r w:rsidRPr="00525900">
              <w:rPr>
                <w:rFonts w:ascii="Calibri" w:eastAsia="Times New Roman" w:hAnsi="Calibri" w:cs="Calibri"/>
                <w:b/>
                <w:bCs/>
                <w:i/>
                <w:iCs/>
                <w:color w:val="000000"/>
                <w:lang w:eastAsia="en-GB"/>
              </w:rPr>
              <w:t>Age</w:t>
            </w:r>
          </w:p>
        </w:tc>
      </w:tr>
      <w:tr w:rsidR="00525900" w:rsidRPr="00525900" w:rsidTr="00525900">
        <w:trPr>
          <w:trHeight w:val="300"/>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15-24 years</w:t>
            </w:r>
          </w:p>
        </w:tc>
        <w:tc>
          <w:tcPr>
            <w:tcW w:w="2782"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7.4</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9.9</w:t>
            </w:r>
          </w:p>
        </w:tc>
        <w:tc>
          <w:tcPr>
            <w:tcW w:w="1760" w:type="dxa"/>
            <w:tcBorders>
              <w:top w:val="single" w:sz="4" w:space="0" w:color="auto"/>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9.7</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-0.2</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2.2</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25-54 years</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3.0</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4.0</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4.1</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0.1</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1.0</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55-64 years</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1.9</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2.7</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2.6</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-0.1</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0.7</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65+</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w:t>
            </w:r>
          </w:p>
        </w:tc>
      </w:tr>
      <w:tr w:rsidR="00525900" w:rsidRPr="00525900" w:rsidTr="00525900">
        <w:trPr>
          <w:trHeight w:val="300"/>
        </w:trPr>
        <w:tc>
          <w:tcPr>
            <w:tcW w:w="13467" w:type="dxa"/>
            <w:gridSpan w:val="8"/>
            <w:tcBorders>
              <w:top w:val="nil"/>
              <w:left w:val="single" w:sz="4" w:space="0" w:color="auto"/>
              <w:bottom w:val="nil"/>
              <w:right w:val="nil"/>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b/>
                <w:bCs/>
                <w:i/>
                <w:iCs/>
                <w:color w:val="000000"/>
                <w:lang w:eastAsia="en-GB"/>
              </w:rPr>
            </w:pPr>
            <w:r w:rsidRPr="00525900">
              <w:rPr>
                <w:rFonts w:ascii="Calibri" w:eastAsia="Times New Roman" w:hAnsi="Calibri" w:cs="Calibri"/>
                <w:b/>
                <w:bCs/>
                <w:i/>
                <w:iCs/>
                <w:color w:val="000000"/>
                <w:lang w:eastAsia="en-GB"/>
              </w:rPr>
              <w:t>Urban/Rural</w:t>
            </w:r>
          </w:p>
        </w:tc>
      </w:tr>
      <w:tr w:rsidR="00525900" w:rsidRPr="00525900" w:rsidTr="00525900">
        <w:trPr>
          <w:trHeight w:val="300"/>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Urban</w:t>
            </w:r>
          </w:p>
        </w:tc>
        <w:tc>
          <w:tcPr>
            <w:tcW w:w="2782"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4.5</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4.6</w:t>
            </w:r>
          </w:p>
        </w:tc>
        <w:tc>
          <w:tcPr>
            <w:tcW w:w="1760" w:type="dxa"/>
            <w:tcBorders>
              <w:top w:val="single" w:sz="4" w:space="0" w:color="auto"/>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4.8</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0.2</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0.3</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Rural</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1.9</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3.6</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3.6</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0.0</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1.7</w:t>
            </w:r>
          </w:p>
        </w:tc>
      </w:tr>
      <w:tr w:rsidR="00525900" w:rsidRPr="00525900" w:rsidTr="00525900">
        <w:trPr>
          <w:trHeight w:val="300"/>
        </w:trPr>
        <w:tc>
          <w:tcPr>
            <w:tcW w:w="13467" w:type="dxa"/>
            <w:gridSpan w:val="8"/>
            <w:tcBorders>
              <w:top w:val="nil"/>
              <w:left w:val="single" w:sz="4" w:space="0" w:color="auto"/>
              <w:bottom w:val="nil"/>
              <w:right w:val="nil"/>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b/>
                <w:bCs/>
                <w:i/>
                <w:iCs/>
                <w:color w:val="000000"/>
                <w:lang w:eastAsia="en-GB"/>
              </w:rPr>
            </w:pPr>
            <w:r w:rsidRPr="00525900">
              <w:rPr>
                <w:rFonts w:ascii="Calibri" w:eastAsia="Times New Roman" w:hAnsi="Calibri" w:cs="Calibri"/>
                <w:b/>
                <w:bCs/>
                <w:i/>
                <w:iCs/>
                <w:color w:val="000000"/>
                <w:lang w:eastAsia="en-GB"/>
              </w:rPr>
              <w:t>Zone</w:t>
            </w:r>
          </w:p>
        </w:tc>
      </w:tr>
      <w:tr w:rsidR="00525900" w:rsidRPr="00525900" w:rsidTr="00525900">
        <w:trPr>
          <w:trHeight w:val="300"/>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North</w:t>
            </w:r>
          </w:p>
        </w:tc>
        <w:tc>
          <w:tcPr>
            <w:tcW w:w="2782"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3.3</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4.4</w:t>
            </w:r>
          </w:p>
        </w:tc>
        <w:tc>
          <w:tcPr>
            <w:tcW w:w="1760" w:type="dxa"/>
            <w:tcBorders>
              <w:top w:val="single" w:sz="4" w:space="0" w:color="auto"/>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4.4</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0.0</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1.1</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Centre</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1.6</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3.5</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3.3</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-0.2</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1.7</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South</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2.2</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3.2</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3.2</w:t>
            </w:r>
          </w:p>
        </w:tc>
        <w:tc>
          <w:tcPr>
            <w:tcW w:w="266" w:type="dxa"/>
            <w:tcBorders>
              <w:top w:val="nil"/>
              <w:left w:val="single" w:sz="4" w:space="0" w:color="auto"/>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0.0</w:t>
            </w:r>
          </w:p>
        </w:tc>
        <w:tc>
          <w:tcPr>
            <w:tcW w:w="284" w:type="dxa"/>
            <w:tcBorders>
              <w:top w:val="nil"/>
              <w:left w:val="nil"/>
              <w:bottom w:val="nil"/>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1.0</w:t>
            </w:r>
          </w:p>
        </w:tc>
      </w:tr>
      <w:tr w:rsidR="00525900" w:rsidRPr="00525900" w:rsidTr="00525900">
        <w:trPr>
          <w:trHeight w:val="300"/>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Municipality Chisinau</w:t>
            </w:r>
          </w:p>
        </w:tc>
        <w:tc>
          <w:tcPr>
            <w:tcW w:w="2782"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4.8</w:t>
            </w:r>
          </w:p>
        </w:tc>
        <w:tc>
          <w:tcPr>
            <w:tcW w:w="3320" w:type="dxa"/>
            <w:tcBorders>
              <w:top w:val="nil"/>
              <w:left w:val="nil"/>
              <w:bottom w:val="single" w:sz="4" w:space="0" w:color="auto"/>
              <w:right w:val="single" w:sz="4" w:space="0" w:color="auto"/>
            </w:tcBorders>
            <w:shd w:val="clear" w:color="auto" w:fill="auto"/>
            <w:noWrap/>
            <w:vAlign w:val="center"/>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4.9</w:t>
            </w:r>
          </w:p>
        </w:tc>
        <w:tc>
          <w:tcPr>
            <w:tcW w:w="1760" w:type="dxa"/>
            <w:tcBorders>
              <w:top w:val="nil"/>
              <w:left w:val="nil"/>
              <w:bottom w:val="single" w:sz="4" w:space="0" w:color="auto"/>
              <w:right w:val="nil"/>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5.0</w:t>
            </w:r>
          </w:p>
        </w:tc>
        <w:tc>
          <w:tcPr>
            <w:tcW w:w="266" w:type="dxa"/>
            <w:tcBorders>
              <w:top w:val="nil"/>
              <w:left w:val="single" w:sz="4" w:space="0" w:color="auto"/>
              <w:bottom w:val="single" w:sz="4" w:space="0" w:color="auto"/>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0.1</w:t>
            </w:r>
          </w:p>
        </w:tc>
        <w:tc>
          <w:tcPr>
            <w:tcW w:w="284" w:type="dxa"/>
            <w:tcBorders>
              <w:top w:val="nil"/>
              <w:left w:val="nil"/>
              <w:bottom w:val="single" w:sz="4" w:space="0" w:color="auto"/>
              <w:right w:val="single" w:sz="4" w:space="0" w:color="auto"/>
            </w:tcBorders>
            <w:shd w:val="clear" w:color="000000" w:fill="F2F2F2"/>
            <w:noWrap/>
            <w:vAlign w:val="bottom"/>
            <w:hideMark/>
          </w:tcPr>
          <w:p w:rsidR="00525900" w:rsidRPr="00525900" w:rsidRDefault="00525900" w:rsidP="00525900">
            <w:pPr>
              <w:spacing w:after="0" w:line="240" w:lineRule="auto"/>
              <w:rPr>
                <w:rFonts w:ascii="Calibri" w:eastAsia="Times New Roman" w:hAnsi="Calibri" w:cs="Calibri"/>
                <w:color w:val="000000"/>
                <w:lang w:eastAsia="en-GB"/>
              </w:rPr>
            </w:pPr>
            <w:r w:rsidRPr="00525900">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525900" w:rsidRPr="00525900" w:rsidRDefault="00525900" w:rsidP="00525900">
            <w:pPr>
              <w:spacing w:after="0" w:line="240" w:lineRule="auto"/>
              <w:jc w:val="right"/>
              <w:rPr>
                <w:rFonts w:ascii="Calibri" w:eastAsia="Times New Roman" w:hAnsi="Calibri" w:cs="Calibri"/>
                <w:color w:val="000000"/>
                <w:lang w:eastAsia="en-GB"/>
              </w:rPr>
            </w:pPr>
            <w:r w:rsidRPr="00525900">
              <w:rPr>
                <w:rFonts w:ascii="Calibri" w:eastAsia="Times New Roman" w:hAnsi="Calibri" w:cs="Calibri"/>
                <w:color w:val="000000"/>
                <w:lang w:eastAsia="en-GB"/>
              </w:rPr>
              <w:t>0.2</w:t>
            </w:r>
          </w:p>
        </w:tc>
      </w:tr>
      <w:tr w:rsidR="00525900" w:rsidRPr="00525900" w:rsidTr="00525900">
        <w:trPr>
          <w:trHeight w:val="300"/>
        </w:trPr>
        <w:tc>
          <w:tcPr>
            <w:tcW w:w="5340" w:type="dxa"/>
            <w:gridSpan w:val="2"/>
            <w:tcBorders>
              <w:top w:val="single" w:sz="4" w:space="0" w:color="auto"/>
            </w:tcBorders>
            <w:shd w:val="clear" w:color="auto" w:fill="auto"/>
            <w:noWrap/>
            <w:vAlign w:val="bottom"/>
          </w:tcPr>
          <w:p w:rsidR="00525900" w:rsidRPr="00525900" w:rsidRDefault="00525900" w:rsidP="00525900">
            <w:pPr>
              <w:spacing w:after="0" w:line="240" w:lineRule="auto"/>
              <w:rPr>
                <w:rFonts w:ascii="Calibri" w:eastAsia="Times New Roman" w:hAnsi="Calibri" w:cs="Calibri"/>
                <w:color w:val="000000"/>
                <w:lang w:eastAsia="en-GB"/>
              </w:rPr>
            </w:pPr>
            <w:r w:rsidRPr="003264D2">
              <w:rPr>
                <w:rFonts w:ascii="Calibri" w:eastAsia="Times New Roman" w:hAnsi="Calibri" w:cs="Calibri"/>
                <w:i/>
                <w:color w:val="000000"/>
                <w:sz w:val="18"/>
                <w:lang w:eastAsia="en-GB"/>
              </w:rPr>
              <w:t>* Too few observations to provide an estimate</w:t>
            </w:r>
          </w:p>
        </w:tc>
        <w:tc>
          <w:tcPr>
            <w:tcW w:w="3320" w:type="dxa"/>
            <w:tcBorders>
              <w:top w:val="single" w:sz="4" w:space="0" w:color="auto"/>
            </w:tcBorders>
            <w:shd w:val="clear" w:color="auto" w:fill="auto"/>
            <w:noWrap/>
            <w:vAlign w:val="center"/>
          </w:tcPr>
          <w:p w:rsidR="00525900" w:rsidRPr="00525900" w:rsidRDefault="00525900" w:rsidP="00525900">
            <w:pPr>
              <w:spacing w:after="0" w:line="240" w:lineRule="auto"/>
              <w:jc w:val="right"/>
              <w:rPr>
                <w:rFonts w:ascii="Calibri" w:eastAsia="Times New Roman" w:hAnsi="Calibri" w:cs="Calibri"/>
                <w:color w:val="000000"/>
                <w:lang w:eastAsia="en-GB"/>
              </w:rPr>
            </w:pPr>
          </w:p>
        </w:tc>
        <w:tc>
          <w:tcPr>
            <w:tcW w:w="1760" w:type="dxa"/>
            <w:tcBorders>
              <w:top w:val="single" w:sz="4" w:space="0" w:color="auto"/>
            </w:tcBorders>
            <w:shd w:val="clear" w:color="auto" w:fill="auto"/>
            <w:noWrap/>
            <w:vAlign w:val="bottom"/>
          </w:tcPr>
          <w:p w:rsidR="00525900" w:rsidRPr="00525900" w:rsidRDefault="00525900" w:rsidP="00525900">
            <w:pPr>
              <w:spacing w:after="0" w:line="240" w:lineRule="auto"/>
              <w:jc w:val="right"/>
              <w:rPr>
                <w:rFonts w:ascii="Calibri" w:eastAsia="Times New Roman" w:hAnsi="Calibri" w:cs="Calibri"/>
                <w:color w:val="000000"/>
                <w:lang w:eastAsia="en-GB"/>
              </w:rPr>
            </w:pPr>
          </w:p>
        </w:tc>
        <w:tc>
          <w:tcPr>
            <w:tcW w:w="266" w:type="dxa"/>
            <w:tcBorders>
              <w:top w:val="single" w:sz="4" w:space="0" w:color="auto"/>
            </w:tcBorders>
            <w:shd w:val="clear" w:color="auto" w:fill="FFFFFF" w:themeFill="background1"/>
            <w:noWrap/>
            <w:vAlign w:val="bottom"/>
          </w:tcPr>
          <w:p w:rsidR="00525900" w:rsidRPr="00525900" w:rsidRDefault="00525900" w:rsidP="00525900">
            <w:pPr>
              <w:spacing w:after="0" w:line="240" w:lineRule="auto"/>
              <w:rPr>
                <w:rFonts w:ascii="Calibri" w:eastAsia="Times New Roman" w:hAnsi="Calibri" w:cs="Calibri"/>
                <w:color w:val="000000"/>
                <w:lang w:eastAsia="en-GB"/>
              </w:rPr>
            </w:pPr>
          </w:p>
        </w:tc>
        <w:tc>
          <w:tcPr>
            <w:tcW w:w="1221" w:type="dxa"/>
            <w:tcBorders>
              <w:top w:val="single" w:sz="4" w:space="0" w:color="auto"/>
            </w:tcBorders>
            <w:shd w:val="clear" w:color="auto" w:fill="FFFFFF" w:themeFill="background1"/>
            <w:noWrap/>
            <w:vAlign w:val="bottom"/>
          </w:tcPr>
          <w:p w:rsidR="00525900" w:rsidRPr="00525900" w:rsidRDefault="00525900" w:rsidP="00525900">
            <w:pPr>
              <w:spacing w:after="0" w:line="240" w:lineRule="auto"/>
              <w:jc w:val="right"/>
              <w:rPr>
                <w:rFonts w:ascii="Calibri" w:eastAsia="Times New Roman" w:hAnsi="Calibri" w:cs="Calibri"/>
                <w:color w:val="000000"/>
                <w:lang w:eastAsia="en-GB"/>
              </w:rPr>
            </w:pPr>
          </w:p>
        </w:tc>
        <w:tc>
          <w:tcPr>
            <w:tcW w:w="284" w:type="dxa"/>
            <w:tcBorders>
              <w:top w:val="single" w:sz="4" w:space="0" w:color="auto"/>
            </w:tcBorders>
            <w:shd w:val="clear" w:color="auto" w:fill="FFFFFF" w:themeFill="background1"/>
            <w:noWrap/>
            <w:vAlign w:val="bottom"/>
          </w:tcPr>
          <w:p w:rsidR="00525900" w:rsidRPr="00525900" w:rsidRDefault="00525900" w:rsidP="00525900">
            <w:pPr>
              <w:spacing w:after="0" w:line="240" w:lineRule="auto"/>
              <w:rPr>
                <w:rFonts w:ascii="Calibri" w:eastAsia="Times New Roman" w:hAnsi="Calibri" w:cs="Calibri"/>
                <w:color w:val="000000"/>
                <w:lang w:eastAsia="en-GB"/>
              </w:rPr>
            </w:pPr>
          </w:p>
        </w:tc>
        <w:tc>
          <w:tcPr>
            <w:tcW w:w="1276" w:type="dxa"/>
            <w:tcBorders>
              <w:top w:val="single" w:sz="4" w:space="0" w:color="auto"/>
            </w:tcBorders>
            <w:shd w:val="clear" w:color="auto" w:fill="auto"/>
            <w:noWrap/>
            <w:vAlign w:val="bottom"/>
          </w:tcPr>
          <w:p w:rsidR="00525900" w:rsidRPr="00525900" w:rsidRDefault="00525900" w:rsidP="00525900">
            <w:pPr>
              <w:spacing w:after="0" w:line="240" w:lineRule="auto"/>
              <w:jc w:val="right"/>
              <w:rPr>
                <w:rFonts w:ascii="Calibri" w:eastAsia="Times New Roman" w:hAnsi="Calibri" w:cs="Calibri"/>
                <w:color w:val="000000"/>
                <w:lang w:eastAsia="en-GB"/>
              </w:rPr>
            </w:pPr>
          </w:p>
        </w:tc>
      </w:tr>
    </w:tbl>
    <w:p w:rsidR="00525900" w:rsidRDefault="00525900" w:rsidP="00E53922">
      <w:pPr>
        <w:jc w:val="both"/>
        <w:sectPr w:rsidR="00525900" w:rsidSect="00525900">
          <w:pgSz w:w="16838" w:h="11906" w:orient="landscape"/>
          <w:pgMar w:top="1440" w:right="1440" w:bottom="1440" w:left="1440" w:header="708" w:footer="708" w:gutter="0"/>
          <w:cols w:space="708"/>
          <w:docGrid w:linePitch="360"/>
        </w:sectPr>
      </w:pPr>
    </w:p>
    <w:p w:rsidR="002D4171" w:rsidRPr="005772BD" w:rsidRDefault="005772BD" w:rsidP="005772BD">
      <w:pPr>
        <w:pStyle w:val="a7"/>
        <w:numPr>
          <w:ilvl w:val="0"/>
          <w:numId w:val="5"/>
        </w:numPr>
        <w:jc w:val="both"/>
        <w:rPr>
          <w:b/>
          <w:sz w:val="28"/>
        </w:rPr>
      </w:pPr>
      <w:r w:rsidRPr="005772BD">
        <w:rPr>
          <w:b/>
          <w:sz w:val="28"/>
        </w:rPr>
        <w:lastRenderedPageBreak/>
        <w:t>Change in sampling design and frame:</w:t>
      </w:r>
    </w:p>
    <w:p w:rsidR="00DC30C0" w:rsidRDefault="005772BD" w:rsidP="00B80797">
      <w:pPr>
        <w:jc w:val="both"/>
      </w:pPr>
      <w:r>
        <w:t xml:space="preserve">The changes made to the sampling design and sample frame are outlined in more detail in </w:t>
      </w:r>
      <w:r w:rsidR="00897F20">
        <w:t xml:space="preserve">the </w:t>
      </w:r>
      <w:r w:rsidRPr="00897F20">
        <w:t>annex</w:t>
      </w:r>
      <w:r>
        <w:t xml:space="preserve">. </w:t>
      </w:r>
      <w:r w:rsidR="00DC30C0">
        <w:t>Updates to sampling frames are inevitable due to changing residential patterns over time. In Mold</w:t>
      </w:r>
      <w:r w:rsidR="00CB37CD">
        <w:t>o</w:t>
      </w:r>
      <w:r w:rsidR="00DC30C0">
        <w:t xml:space="preserve">va, as in many countries these updates are made after a Census of Population. In this case the sampling frame was based on Census of Population 2004 up to Q4 2018, changing to Census of Population 2014 from Q1 2019. </w:t>
      </w:r>
    </w:p>
    <w:p w:rsidR="004839E6" w:rsidRDefault="005772BD" w:rsidP="00B80797">
      <w:pPr>
        <w:jc w:val="both"/>
      </w:pPr>
      <w:r>
        <w:t xml:space="preserve">An important point to understand is that no direct comparison of estimates using the old and new samples is possible as they were never in use in the same period of time. The old sample design and frame were used up to Q4 2018, while the new design and frame were introduced fully in Q1 2019. It is not unusual by international practice to introduce a new sample in this way as running operations with two different samples simultaneously can be very </w:t>
      </w:r>
      <w:r w:rsidR="008B7000">
        <w:t>expensive</w:t>
      </w:r>
      <w:r>
        <w:t xml:space="preserve"> and complex. </w:t>
      </w:r>
    </w:p>
    <w:p w:rsidR="005772BD" w:rsidRDefault="005772BD" w:rsidP="00B80797">
      <w:pPr>
        <w:jc w:val="both"/>
      </w:pPr>
      <w:r>
        <w:t>While no direct comparisons are possible for a single period of time we can review the time series between 2018 and 2019 to comment on the type of impact we believe occurred and why. Again we will focus on estimates of employment and unemployment, although other series are of course also impacted</w:t>
      </w:r>
      <w:r w:rsidR="00914B41">
        <w:t xml:space="preserve">. </w:t>
      </w:r>
    </w:p>
    <w:p w:rsidR="00EC5C36" w:rsidRDefault="00EC5C36" w:rsidP="00B80797">
      <w:pPr>
        <w:jc w:val="both"/>
        <w:rPr>
          <w:i/>
        </w:rPr>
      </w:pPr>
      <w:r>
        <w:rPr>
          <w:i/>
        </w:rPr>
        <w:t xml:space="preserve">Employment </w:t>
      </w:r>
      <w:r w:rsidR="00152F1B">
        <w:rPr>
          <w:i/>
        </w:rPr>
        <w:t xml:space="preserve">and unemployment </w:t>
      </w:r>
      <w:r>
        <w:rPr>
          <w:i/>
        </w:rPr>
        <w:t>estimates</w:t>
      </w:r>
    </w:p>
    <w:p w:rsidR="00EC5C36" w:rsidRPr="00EC5C36" w:rsidRDefault="00EC5C36" w:rsidP="00B80797">
      <w:pPr>
        <w:jc w:val="both"/>
      </w:pPr>
      <w:r>
        <w:t xml:space="preserve">Figure </w:t>
      </w:r>
      <w:r w:rsidR="000E489C">
        <w:t xml:space="preserve">10 </w:t>
      </w:r>
      <w:r>
        <w:t>show</w:t>
      </w:r>
      <w:r w:rsidR="00DC30C0">
        <w:t>s</w:t>
      </w:r>
      <w:r>
        <w:t xml:space="preserve"> the movement in the estimates of number of persons employed from Q4 2015 to Q2 2019. Estimates are presented for the ‘old’ series and the ‘new’ series</w:t>
      </w:r>
      <w:r w:rsidR="008B7000">
        <w:t xml:space="preserve">, which is </w:t>
      </w:r>
      <w:r w:rsidR="00DC30C0">
        <w:t>only available from Q1 2018</w:t>
      </w:r>
      <w:r>
        <w:t>.</w:t>
      </w:r>
      <w:r w:rsidR="00A51505">
        <w:t xml:space="preserve"> </w:t>
      </w:r>
      <w:r w:rsidR="00DC30C0">
        <w:t xml:space="preserve">It is </w:t>
      </w:r>
      <w:r w:rsidR="008B7000">
        <w:t>evident</w:t>
      </w:r>
      <w:r w:rsidR="00A51505">
        <w:t xml:space="preserve"> that the data follows a clear seasonal pattern. Typically</w:t>
      </w:r>
      <w:r w:rsidR="00DC30C0">
        <w:t>,</w:t>
      </w:r>
      <w:r w:rsidR="00A51505">
        <w:t xml:space="preserve"> the employment estimate falls between the fourth quarter of the year and the </w:t>
      </w:r>
      <w:r w:rsidR="00DC30C0">
        <w:t>first</w:t>
      </w:r>
      <w:r w:rsidR="00A51505">
        <w:t xml:space="preserve"> quarter of the following year due to</w:t>
      </w:r>
      <w:r w:rsidR="00DC30C0">
        <w:t xml:space="preserve"> the</w:t>
      </w:r>
      <w:r w:rsidR="00A51505">
        <w:t xml:space="preserve"> low agricultural season</w:t>
      </w:r>
      <w:r w:rsidR="00F87CC6">
        <w:t>, as shown by the arrows on the graph</w:t>
      </w:r>
      <w:r w:rsidR="00A51505">
        <w:t>. It then increases between quarter 1 and quarter 2 each year. The size of the increases and decreases can vary. However, between Q4 2018 and Q1 2019, when the sample changed, the employment estimate increased, both under the old series and the new series. This suggests that the new sample has caused a</w:t>
      </w:r>
      <w:r w:rsidR="008B7000">
        <w:t>n upward</w:t>
      </w:r>
      <w:r w:rsidR="00A51505">
        <w:t xml:space="preserve"> break in the series for employment </w:t>
      </w:r>
      <w:r w:rsidR="00F87CC6">
        <w:t>that</w:t>
      </w:r>
      <w:r w:rsidR="00A51505">
        <w:t xml:space="preserve"> is also seen in other key series.</w:t>
      </w:r>
    </w:p>
    <w:p w:rsidR="005772BD" w:rsidRDefault="00A51505" w:rsidP="00B80797">
      <w:pPr>
        <w:jc w:val="both"/>
      </w:pPr>
      <w:r>
        <w:rPr>
          <w:noProof/>
          <w:lang w:val="ru-RU" w:eastAsia="ru-RU"/>
        </w:rPr>
        <w:drawing>
          <wp:inline distT="0" distB="0" distL="0" distR="0">
            <wp:extent cx="5667375" cy="3317358"/>
            <wp:effectExtent l="0" t="0" r="952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72BD" w:rsidRDefault="00A51505" w:rsidP="00B80797">
      <w:pPr>
        <w:jc w:val="both"/>
      </w:pPr>
      <w:r>
        <w:lastRenderedPageBreak/>
        <w:t>To understand how large this break in series may be it is useful to look a longer time series as shown in table 9. The table shows the maximum</w:t>
      </w:r>
      <w:r w:rsidR="00247D7D">
        <w:t>,</w:t>
      </w:r>
      <w:r>
        <w:t xml:space="preserve"> minimum</w:t>
      </w:r>
      <w:r w:rsidR="00247D7D">
        <w:t>, median and mean</w:t>
      </w:r>
      <w:r>
        <w:t xml:space="preserve"> change between quarter 4 and </w:t>
      </w:r>
      <w:r w:rsidR="00F87CC6">
        <w:t>quarter 1 each year from Q4 2006</w:t>
      </w:r>
      <w:r w:rsidR="00247D7D">
        <w:t xml:space="preserve"> onwards for 4 key indicators</w:t>
      </w:r>
    </w:p>
    <w:p w:rsidR="00247D7D" w:rsidRPr="00DC30C0" w:rsidRDefault="00247D7D" w:rsidP="00B80797">
      <w:pPr>
        <w:jc w:val="both"/>
      </w:pPr>
      <w:r w:rsidRPr="00DC30C0">
        <w:t>We can see that starting with Q4 2006 to Q1 2007</w:t>
      </w:r>
      <w:r w:rsidR="006B04DC">
        <w:t>,</w:t>
      </w:r>
      <w:r w:rsidRPr="00DC30C0">
        <w:t xml:space="preserve"> up to Q4 2017 to Q1 2018 the employment estimate fell in each year by somewhere between 2% and 10.3% with an average reduction of 5.9%. However, between Q4 2018 and Q1 2019 it increased by 8.3% (+14.2% from the average of 2006 to 2018). For the other indicators:</w:t>
      </w:r>
    </w:p>
    <w:p w:rsidR="00247D7D" w:rsidRPr="00DC30C0" w:rsidRDefault="00247D7D" w:rsidP="00247D7D">
      <w:pPr>
        <w:pStyle w:val="a7"/>
        <w:numPr>
          <w:ilvl w:val="0"/>
          <w:numId w:val="12"/>
        </w:numPr>
        <w:jc w:val="both"/>
      </w:pPr>
      <w:r w:rsidRPr="00DC30C0">
        <w:t xml:space="preserve">The employment to population ratio also fell </w:t>
      </w:r>
      <w:r w:rsidR="006B04DC">
        <w:t xml:space="preserve">between Q4 and Q1 each </w:t>
      </w:r>
      <w:r w:rsidRPr="00DC30C0">
        <w:t>year, by between 0.8 percentage points and 4.1</w:t>
      </w:r>
      <w:r w:rsidR="008B7000">
        <w:t xml:space="preserve"> percentage</w:t>
      </w:r>
      <w:r w:rsidRPr="00DC30C0">
        <w:t xml:space="preserve"> points with an average decrease of 2.4</w:t>
      </w:r>
      <w:r w:rsidR="008B7000">
        <w:t xml:space="preserve"> percentage points</w:t>
      </w:r>
      <w:r w:rsidRPr="00DC30C0">
        <w:t xml:space="preserve">. Between </w:t>
      </w:r>
      <w:r w:rsidR="00FC0D70" w:rsidRPr="00DC30C0">
        <w:t>Q4 2018 and Q1 2019 it increased by 3.2 percentage points (+5.6 percentage points from the average between 2006 and 2018).</w:t>
      </w:r>
    </w:p>
    <w:p w:rsidR="00247D7D" w:rsidRPr="00DC30C0" w:rsidRDefault="00247D7D" w:rsidP="00247D7D">
      <w:pPr>
        <w:pStyle w:val="a7"/>
        <w:numPr>
          <w:ilvl w:val="0"/>
          <w:numId w:val="12"/>
        </w:numPr>
        <w:jc w:val="both"/>
      </w:pPr>
      <w:r w:rsidRPr="00DC30C0">
        <w:t xml:space="preserve">The estimated number of persons unemployed typically increased, with the exception of only one year. As the number of persons unemployed is much lower than the number employed the percentage changes can be much larger. We see an average increase of 39.5% and a median (which is less effected by extreme changes) increase of 25.9%. The </w:t>
      </w:r>
      <w:r w:rsidR="00FC0D70" w:rsidRPr="00DC30C0">
        <w:t>change from Q4 2018 to Q1 2019 was +103.5%, +64% from the average between 2006 and 2018 or +77.6% from the median.</w:t>
      </w:r>
    </w:p>
    <w:p w:rsidR="00FC0D70" w:rsidRPr="00DC30C0" w:rsidRDefault="00FC0D70" w:rsidP="00247D7D">
      <w:pPr>
        <w:pStyle w:val="a7"/>
        <w:numPr>
          <w:ilvl w:val="0"/>
          <w:numId w:val="12"/>
        </w:numPr>
        <w:jc w:val="both"/>
      </w:pPr>
      <w:r w:rsidRPr="00DC30C0">
        <w:t>The unemployment rate increased in each year between Q4 and Q1, at least by 0.1 percentage points, or by up to 5.0 percentage points. On average the increase was 1.9 percentage points (2.0 percentage points median). Be</w:t>
      </w:r>
      <w:r w:rsidR="00291F55">
        <w:t>t</w:t>
      </w:r>
      <w:r w:rsidRPr="00DC30C0">
        <w:t>ween Q4 2018 and Q1 2019 it increased by 3.0 percentage points, 1.1 percentage points more than the average between 2006 and 2018.</w:t>
      </w:r>
    </w:p>
    <w:p w:rsidR="005772BD" w:rsidRDefault="00FC0D70" w:rsidP="00B80797">
      <w:pPr>
        <w:jc w:val="both"/>
      </w:pPr>
      <w:r w:rsidRPr="00DC30C0">
        <w:t>In summary, we can conclude that there has been a break in the 4 key series highlighted between Q4 2018 and Q1 2019. In each case the indicator appears to have been increased by the change in sample. The explanation for this relates to the types of area now introduced to the sample which were not in the old sample frame because they did not have large residential populations in 2004, but had grown substantially by 2014. These newer housing areas are more urbanised and have higher levels of labour market engagement than average. This caused employment and unemployment estimates to increase when the updated sample was introduced.</w:t>
      </w:r>
    </w:p>
    <w:tbl>
      <w:tblPr>
        <w:tblW w:w="5000" w:type="pct"/>
        <w:tblLook w:val="04A0"/>
      </w:tblPr>
      <w:tblGrid>
        <w:gridCol w:w="2693"/>
        <w:gridCol w:w="1047"/>
        <w:gridCol w:w="1018"/>
        <w:gridCol w:w="1273"/>
        <w:gridCol w:w="1161"/>
        <w:gridCol w:w="2050"/>
      </w:tblGrid>
      <w:tr w:rsidR="00395528" w:rsidRPr="00395528" w:rsidTr="00395528">
        <w:trPr>
          <w:trHeight w:val="300"/>
        </w:trPr>
        <w:tc>
          <w:tcPr>
            <w:tcW w:w="5000" w:type="pct"/>
            <w:gridSpan w:val="6"/>
            <w:tcBorders>
              <w:top w:val="nil"/>
              <w:left w:val="nil"/>
              <w:bottom w:val="nil"/>
              <w:right w:val="nil"/>
            </w:tcBorders>
            <w:shd w:val="clear" w:color="auto" w:fill="auto"/>
            <w:noWrap/>
            <w:vAlign w:val="bottom"/>
            <w:hideMark/>
          </w:tcPr>
          <w:p w:rsidR="00395528" w:rsidRDefault="00395528" w:rsidP="00395528">
            <w:pPr>
              <w:spacing w:after="0" w:line="240" w:lineRule="auto"/>
              <w:rPr>
                <w:rFonts w:ascii="Calibri" w:eastAsia="Times New Roman" w:hAnsi="Calibri" w:cs="Calibri"/>
                <w:b/>
                <w:bCs/>
                <w:color w:val="000000"/>
                <w:lang w:eastAsia="en-GB"/>
              </w:rPr>
            </w:pPr>
            <w:r w:rsidRPr="00395528">
              <w:rPr>
                <w:rFonts w:ascii="Calibri" w:eastAsia="Times New Roman" w:hAnsi="Calibri" w:cs="Calibri"/>
                <w:b/>
                <w:bCs/>
                <w:color w:val="000000"/>
                <w:lang w:eastAsia="en-GB"/>
              </w:rPr>
              <w:t>Table 9 - Q4 to Q1 change in key estimates, 2006 to 2019</w:t>
            </w:r>
          </w:p>
          <w:p w:rsidR="00AE1940" w:rsidRPr="00395528" w:rsidRDefault="00AE1940" w:rsidP="00395528">
            <w:pPr>
              <w:spacing w:after="0" w:line="240" w:lineRule="auto"/>
              <w:rPr>
                <w:rFonts w:ascii="Times New Roman" w:eastAsia="Times New Roman" w:hAnsi="Times New Roman" w:cs="Times New Roman"/>
                <w:sz w:val="20"/>
                <w:szCs w:val="20"/>
                <w:lang w:eastAsia="en-GB"/>
              </w:rPr>
            </w:pPr>
          </w:p>
        </w:tc>
      </w:tr>
      <w:tr w:rsidR="00247D7D" w:rsidRPr="00395528" w:rsidTr="00247D7D">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247D7D" w:rsidRPr="00395528" w:rsidRDefault="00247D7D" w:rsidP="00395528">
            <w:pPr>
              <w:spacing w:after="0" w:line="240" w:lineRule="auto"/>
              <w:rPr>
                <w:rFonts w:ascii="Calibri" w:eastAsia="Times New Roman" w:hAnsi="Calibri" w:cs="Calibri"/>
                <w:color w:val="000000"/>
                <w:lang w:eastAsia="en-GB"/>
              </w:rPr>
            </w:pPr>
          </w:p>
        </w:tc>
        <w:tc>
          <w:tcPr>
            <w:tcW w:w="2438"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247D7D" w:rsidRPr="00247D7D" w:rsidRDefault="00247D7D" w:rsidP="00247D7D">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2006 to 2018</w:t>
            </w:r>
          </w:p>
        </w:tc>
        <w:tc>
          <w:tcPr>
            <w:tcW w:w="110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247D7D" w:rsidRPr="00247D7D" w:rsidRDefault="00247D7D" w:rsidP="00247D7D">
            <w:pPr>
              <w:spacing w:after="0" w:line="240" w:lineRule="auto"/>
              <w:jc w:val="right"/>
              <w:rPr>
                <w:rFonts w:ascii="Calibri" w:eastAsia="Times New Roman" w:hAnsi="Calibri" w:cs="Calibri"/>
                <w:b/>
                <w:color w:val="000000"/>
                <w:lang w:eastAsia="en-GB"/>
              </w:rPr>
            </w:pPr>
          </w:p>
        </w:tc>
      </w:tr>
      <w:tr w:rsidR="00395528" w:rsidRPr="00395528" w:rsidTr="00247D7D">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95528" w:rsidRPr="00395528" w:rsidRDefault="00395528" w:rsidP="00395528">
            <w:pPr>
              <w:spacing w:after="0" w:line="240" w:lineRule="auto"/>
              <w:rPr>
                <w:rFonts w:ascii="Calibri" w:eastAsia="Times New Roman" w:hAnsi="Calibri" w:cs="Calibri"/>
                <w:color w:val="000000"/>
                <w:lang w:eastAsia="en-GB"/>
              </w:rPr>
            </w:pPr>
            <w:r w:rsidRPr="00395528">
              <w:rPr>
                <w:rFonts w:ascii="Calibri" w:eastAsia="Times New Roman" w:hAnsi="Calibri" w:cs="Calibri"/>
                <w:color w:val="000000"/>
                <w:lang w:eastAsia="en-GB"/>
              </w:rPr>
              <w:t> </w:t>
            </w:r>
          </w:p>
        </w:tc>
        <w:tc>
          <w:tcPr>
            <w:tcW w:w="567"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95528" w:rsidRPr="00247D7D" w:rsidRDefault="00395528" w:rsidP="00247D7D">
            <w:pPr>
              <w:spacing w:after="0" w:line="240" w:lineRule="auto"/>
              <w:jc w:val="right"/>
              <w:rPr>
                <w:rFonts w:ascii="Calibri" w:eastAsia="Times New Roman" w:hAnsi="Calibri" w:cs="Calibri"/>
                <w:b/>
                <w:color w:val="000000"/>
                <w:lang w:eastAsia="en-GB"/>
              </w:rPr>
            </w:pPr>
            <w:r w:rsidRPr="00247D7D">
              <w:rPr>
                <w:rFonts w:ascii="Calibri" w:eastAsia="Times New Roman" w:hAnsi="Calibri" w:cs="Calibri"/>
                <w:b/>
                <w:color w:val="000000"/>
                <w:lang w:eastAsia="en-GB"/>
              </w:rPr>
              <w:t>Max change</w:t>
            </w:r>
          </w:p>
        </w:tc>
        <w:tc>
          <w:tcPr>
            <w:tcW w:w="55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95528" w:rsidRPr="00247D7D" w:rsidRDefault="00395528" w:rsidP="00247D7D">
            <w:pPr>
              <w:spacing w:after="0" w:line="240" w:lineRule="auto"/>
              <w:jc w:val="right"/>
              <w:rPr>
                <w:rFonts w:ascii="Calibri" w:eastAsia="Times New Roman" w:hAnsi="Calibri" w:cs="Calibri"/>
                <w:b/>
                <w:color w:val="000000"/>
                <w:lang w:eastAsia="en-GB"/>
              </w:rPr>
            </w:pPr>
            <w:r w:rsidRPr="00247D7D">
              <w:rPr>
                <w:rFonts w:ascii="Calibri" w:eastAsia="Times New Roman" w:hAnsi="Calibri" w:cs="Calibri"/>
                <w:b/>
                <w:color w:val="000000"/>
                <w:lang w:eastAsia="en-GB"/>
              </w:rPr>
              <w:t>Min change</w:t>
            </w:r>
          </w:p>
        </w:tc>
        <w:tc>
          <w:tcPr>
            <w:tcW w:w="68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95528" w:rsidRPr="00247D7D" w:rsidRDefault="00395528" w:rsidP="00247D7D">
            <w:pPr>
              <w:spacing w:after="0" w:line="240" w:lineRule="auto"/>
              <w:jc w:val="right"/>
              <w:rPr>
                <w:rFonts w:ascii="Calibri" w:eastAsia="Times New Roman" w:hAnsi="Calibri" w:cs="Calibri"/>
                <w:b/>
                <w:color w:val="000000"/>
                <w:lang w:eastAsia="en-GB"/>
              </w:rPr>
            </w:pPr>
            <w:r w:rsidRPr="00247D7D">
              <w:rPr>
                <w:rFonts w:ascii="Calibri" w:eastAsia="Times New Roman" w:hAnsi="Calibri" w:cs="Calibri"/>
                <w:b/>
                <w:color w:val="000000"/>
                <w:lang w:eastAsia="en-GB"/>
              </w:rPr>
              <w:t>Median change</w:t>
            </w:r>
          </w:p>
        </w:tc>
        <w:tc>
          <w:tcPr>
            <w:tcW w:w="6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95528" w:rsidRPr="00247D7D" w:rsidRDefault="00395528" w:rsidP="00247D7D">
            <w:pPr>
              <w:spacing w:after="0" w:line="240" w:lineRule="auto"/>
              <w:jc w:val="right"/>
              <w:rPr>
                <w:rFonts w:ascii="Calibri" w:eastAsia="Times New Roman" w:hAnsi="Calibri" w:cs="Calibri"/>
                <w:b/>
                <w:color w:val="000000"/>
                <w:lang w:eastAsia="en-GB"/>
              </w:rPr>
            </w:pPr>
            <w:r w:rsidRPr="00247D7D">
              <w:rPr>
                <w:rFonts w:ascii="Calibri" w:eastAsia="Times New Roman" w:hAnsi="Calibri" w:cs="Calibri"/>
                <w:b/>
                <w:color w:val="000000"/>
                <w:lang w:eastAsia="en-GB"/>
              </w:rPr>
              <w:t>Mean Change</w:t>
            </w:r>
          </w:p>
        </w:tc>
        <w:tc>
          <w:tcPr>
            <w:tcW w:w="1108"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95528" w:rsidRPr="00247D7D" w:rsidRDefault="00395528" w:rsidP="00247D7D">
            <w:pPr>
              <w:spacing w:after="0" w:line="240" w:lineRule="auto"/>
              <w:jc w:val="right"/>
              <w:rPr>
                <w:rFonts w:ascii="Calibri" w:eastAsia="Times New Roman" w:hAnsi="Calibri" w:cs="Calibri"/>
                <w:b/>
                <w:color w:val="000000"/>
                <w:lang w:eastAsia="en-GB"/>
              </w:rPr>
            </w:pPr>
            <w:r w:rsidRPr="00247D7D">
              <w:rPr>
                <w:rFonts w:ascii="Calibri" w:eastAsia="Times New Roman" w:hAnsi="Calibri" w:cs="Calibri"/>
                <w:b/>
                <w:color w:val="000000"/>
                <w:lang w:eastAsia="en-GB"/>
              </w:rPr>
              <w:t>Change Q42018 to Q12019</w:t>
            </w:r>
          </w:p>
        </w:tc>
      </w:tr>
      <w:tr w:rsidR="00395528" w:rsidRPr="00395528" w:rsidTr="00247D7D">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395528" w:rsidRPr="00395528" w:rsidRDefault="00395528" w:rsidP="00395528">
            <w:pPr>
              <w:spacing w:after="0" w:line="240" w:lineRule="auto"/>
              <w:rPr>
                <w:rFonts w:ascii="Calibri" w:eastAsia="Times New Roman" w:hAnsi="Calibri" w:cs="Calibri"/>
                <w:color w:val="000000"/>
                <w:lang w:eastAsia="en-GB"/>
              </w:rPr>
            </w:pPr>
            <w:r w:rsidRPr="00395528">
              <w:rPr>
                <w:rFonts w:ascii="Calibri" w:eastAsia="Times New Roman" w:hAnsi="Calibri" w:cs="Calibri"/>
                <w:color w:val="000000"/>
                <w:lang w:eastAsia="en-GB"/>
              </w:rPr>
              <w:t>Employment (%)</w:t>
            </w:r>
          </w:p>
        </w:tc>
        <w:tc>
          <w:tcPr>
            <w:tcW w:w="567"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-2.0</w:t>
            </w:r>
          </w:p>
        </w:tc>
        <w:tc>
          <w:tcPr>
            <w:tcW w:w="552"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-10.3</w:t>
            </w:r>
          </w:p>
        </w:tc>
        <w:tc>
          <w:tcPr>
            <w:tcW w:w="68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-6.0</w:t>
            </w:r>
          </w:p>
        </w:tc>
        <w:tc>
          <w:tcPr>
            <w:tcW w:w="62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-5.9</w:t>
            </w:r>
          </w:p>
        </w:tc>
        <w:tc>
          <w:tcPr>
            <w:tcW w:w="1108"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8.3</w:t>
            </w:r>
          </w:p>
        </w:tc>
      </w:tr>
      <w:tr w:rsidR="00395528" w:rsidRPr="00395528" w:rsidTr="00247D7D">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395528" w:rsidRPr="00247D7D" w:rsidRDefault="00395528" w:rsidP="00395528">
            <w:pPr>
              <w:spacing w:after="0" w:line="240" w:lineRule="auto"/>
              <w:rPr>
                <w:rFonts w:ascii="Calibri" w:eastAsia="Times New Roman" w:hAnsi="Calibri" w:cs="Calibri"/>
                <w:bCs/>
                <w:color w:val="000000"/>
                <w:lang w:eastAsia="en-GB"/>
              </w:rPr>
            </w:pPr>
            <w:r w:rsidRPr="00247D7D">
              <w:rPr>
                <w:rFonts w:ascii="Calibri" w:eastAsia="Times New Roman" w:hAnsi="Calibri" w:cs="Calibri"/>
                <w:bCs/>
                <w:color w:val="000000"/>
                <w:lang w:eastAsia="en-GB"/>
              </w:rPr>
              <w:t>Employment to population ratio (pp)</w:t>
            </w:r>
          </w:p>
        </w:tc>
        <w:tc>
          <w:tcPr>
            <w:tcW w:w="567"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-0.8</w:t>
            </w:r>
          </w:p>
        </w:tc>
        <w:tc>
          <w:tcPr>
            <w:tcW w:w="552"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-4.1</w:t>
            </w:r>
          </w:p>
        </w:tc>
        <w:tc>
          <w:tcPr>
            <w:tcW w:w="68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-2.4</w:t>
            </w:r>
          </w:p>
        </w:tc>
        <w:tc>
          <w:tcPr>
            <w:tcW w:w="62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-2.4</w:t>
            </w:r>
          </w:p>
        </w:tc>
        <w:tc>
          <w:tcPr>
            <w:tcW w:w="1108"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3.2</w:t>
            </w:r>
          </w:p>
        </w:tc>
      </w:tr>
      <w:tr w:rsidR="00395528" w:rsidRPr="00395528" w:rsidTr="00247D7D">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395528" w:rsidRPr="00247D7D" w:rsidRDefault="00395528" w:rsidP="00395528">
            <w:pPr>
              <w:spacing w:after="0" w:line="240" w:lineRule="auto"/>
              <w:rPr>
                <w:rFonts w:ascii="Calibri" w:eastAsia="Times New Roman" w:hAnsi="Calibri" w:cs="Calibri"/>
                <w:color w:val="000000"/>
                <w:lang w:eastAsia="en-GB"/>
              </w:rPr>
            </w:pPr>
            <w:r w:rsidRPr="00247D7D">
              <w:rPr>
                <w:rFonts w:ascii="Calibri" w:eastAsia="Times New Roman" w:hAnsi="Calibri" w:cs="Calibri"/>
                <w:color w:val="000000"/>
                <w:lang w:eastAsia="en-GB"/>
              </w:rPr>
              <w:t>Unemployment (%)</w:t>
            </w:r>
          </w:p>
        </w:tc>
        <w:tc>
          <w:tcPr>
            <w:tcW w:w="567"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143.5</w:t>
            </w:r>
          </w:p>
        </w:tc>
        <w:tc>
          <w:tcPr>
            <w:tcW w:w="552"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-4.6</w:t>
            </w:r>
          </w:p>
        </w:tc>
        <w:tc>
          <w:tcPr>
            <w:tcW w:w="68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25.9</w:t>
            </w:r>
          </w:p>
        </w:tc>
        <w:tc>
          <w:tcPr>
            <w:tcW w:w="62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39.5</w:t>
            </w:r>
          </w:p>
        </w:tc>
        <w:tc>
          <w:tcPr>
            <w:tcW w:w="1108"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103.5</w:t>
            </w:r>
          </w:p>
        </w:tc>
      </w:tr>
      <w:tr w:rsidR="00395528" w:rsidRPr="00395528" w:rsidTr="00247D7D">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395528" w:rsidRPr="00247D7D" w:rsidRDefault="00395528" w:rsidP="00395528">
            <w:pPr>
              <w:spacing w:after="0" w:line="240" w:lineRule="auto"/>
              <w:rPr>
                <w:rFonts w:ascii="Calibri" w:eastAsia="Times New Roman" w:hAnsi="Calibri" w:cs="Calibri"/>
                <w:bCs/>
                <w:color w:val="000000"/>
                <w:lang w:eastAsia="en-GB"/>
              </w:rPr>
            </w:pPr>
            <w:r w:rsidRPr="00247D7D">
              <w:rPr>
                <w:rFonts w:ascii="Calibri" w:eastAsia="Times New Roman" w:hAnsi="Calibri" w:cs="Calibri"/>
                <w:bCs/>
                <w:color w:val="000000"/>
                <w:lang w:eastAsia="en-GB"/>
              </w:rPr>
              <w:t>Unemployment rate (pp)</w:t>
            </w:r>
          </w:p>
        </w:tc>
        <w:tc>
          <w:tcPr>
            <w:tcW w:w="567"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5.0</w:t>
            </w:r>
          </w:p>
        </w:tc>
        <w:tc>
          <w:tcPr>
            <w:tcW w:w="552"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0.1</w:t>
            </w:r>
          </w:p>
        </w:tc>
        <w:tc>
          <w:tcPr>
            <w:tcW w:w="68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2.0</w:t>
            </w:r>
          </w:p>
        </w:tc>
        <w:tc>
          <w:tcPr>
            <w:tcW w:w="629"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1.9</w:t>
            </w:r>
          </w:p>
        </w:tc>
        <w:tc>
          <w:tcPr>
            <w:tcW w:w="1108" w:type="pct"/>
            <w:tcBorders>
              <w:top w:val="nil"/>
              <w:left w:val="nil"/>
              <w:bottom w:val="single" w:sz="4" w:space="0" w:color="auto"/>
              <w:right w:val="single" w:sz="4" w:space="0" w:color="auto"/>
            </w:tcBorders>
            <w:shd w:val="clear" w:color="auto" w:fill="auto"/>
            <w:noWrap/>
            <w:vAlign w:val="bottom"/>
            <w:hideMark/>
          </w:tcPr>
          <w:p w:rsidR="00395528" w:rsidRPr="00395528" w:rsidRDefault="00395528" w:rsidP="00247D7D">
            <w:pPr>
              <w:spacing w:after="0" w:line="240" w:lineRule="auto"/>
              <w:jc w:val="right"/>
              <w:rPr>
                <w:rFonts w:ascii="Calibri" w:eastAsia="Times New Roman" w:hAnsi="Calibri" w:cs="Calibri"/>
                <w:color w:val="000000"/>
                <w:lang w:eastAsia="en-GB"/>
              </w:rPr>
            </w:pPr>
            <w:r w:rsidRPr="00395528">
              <w:rPr>
                <w:rFonts w:ascii="Calibri" w:eastAsia="Times New Roman" w:hAnsi="Calibri" w:cs="Calibri"/>
                <w:color w:val="000000"/>
                <w:lang w:eastAsia="en-GB"/>
              </w:rPr>
              <w:t>3.0</w:t>
            </w:r>
          </w:p>
        </w:tc>
      </w:tr>
    </w:tbl>
    <w:p w:rsidR="00395528" w:rsidRDefault="00395528" w:rsidP="00B80797">
      <w:pPr>
        <w:jc w:val="both"/>
      </w:pPr>
    </w:p>
    <w:p w:rsidR="00152F1B" w:rsidRDefault="00DC30C0" w:rsidP="00B80797">
      <w:pPr>
        <w:jc w:val="both"/>
      </w:pPr>
      <w:r>
        <w:t xml:space="preserve">While we can observe that a break in series has occurred and its direction (an upward shift on key indicators) there is </w:t>
      </w:r>
      <w:r w:rsidR="00291F55">
        <w:t>i</w:t>
      </w:r>
      <w:r>
        <w:t xml:space="preserve">nsufficient information available to </w:t>
      </w:r>
      <w:r w:rsidR="008B7000">
        <w:t xml:space="preserve">confidently </w:t>
      </w:r>
      <w:r>
        <w:t xml:space="preserve">estimate the size of the break in series. </w:t>
      </w:r>
      <w:r w:rsidR="00152F1B">
        <w:t xml:space="preserve">This is because in reality there are multiple factors </w:t>
      </w:r>
      <w:r w:rsidR="008B7000">
        <w:t>that</w:t>
      </w:r>
      <w:r w:rsidR="00152F1B">
        <w:t xml:space="preserve"> could cause movements in the series between Q4 2018 and Q1 2019 including:</w:t>
      </w:r>
    </w:p>
    <w:p w:rsidR="00152F1B" w:rsidRDefault="00152F1B" w:rsidP="00152F1B">
      <w:pPr>
        <w:pStyle w:val="a7"/>
        <w:numPr>
          <w:ilvl w:val="0"/>
          <w:numId w:val="13"/>
        </w:numPr>
        <w:jc w:val="both"/>
      </w:pPr>
      <w:r>
        <w:lastRenderedPageBreak/>
        <w:t>Normal seasonal effects (as described above)</w:t>
      </w:r>
    </w:p>
    <w:p w:rsidR="00152F1B" w:rsidRDefault="00152F1B" w:rsidP="00152F1B">
      <w:pPr>
        <w:pStyle w:val="a7"/>
        <w:numPr>
          <w:ilvl w:val="0"/>
          <w:numId w:val="13"/>
        </w:numPr>
        <w:jc w:val="both"/>
      </w:pPr>
      <w:r>
        <w:t>Actual trends in the labour market (general increases or decreases)</w:t>
      </w:r>
    </w:p>
    <w:p w:rsidR="00152F1B" w:rsidRDefault="00152F1B" w:rsidP="00152F1B">
      <w:pPr>
        <w:pStyle w:val="a7"/>
        <w:numPr>
          <w:ilvl w:val="0"/>
          <w:numId w:val="13"/>
        </w:numPr>
        <w:jc w:val="both"/>
      </w:pPr>
      <w:r>
        <w:t>Normal uncertainty of statistical measurement</w:t>
      </w:r>
    </w:p>
    <w:p w:rsidR="00152F1B" w:rsidRDefault="00152F1B" w:rsidP="00152F1B">
      <w:pPr>
        <w:pStyle w:val="a7"/>
        <w:numPr>
          <w:ilvl w:val="0"/>
          <w:numId w:val="13"/>
        </w:numPr>
        <w:jc w:val="both"/>
      </w:pPr>
      <w:r>
        <w:t>The impact of the sample update</w:t>
      </w:r>
    </w:p>
    <w:p w:rsidR="008B7000" w:rsidRDefault="00152F1B" w:rsidP="008B7000">
      <w:pPr>
        <w:jc w:val="both"/>
      </w:pPr>
      <w:r>
        <w:t xml:space="preserve">As we cannot break down the movement between Q4 2018 and Q1 2019 between these elements it is impossible to isolate only the change because of the sample update. As a </w:t>
      </w:r>
      <w:r w:rsidR="00291F55">
        <w:t>consequence,</w:t>
      </w:r>
      <w:r>
        <w:t xml:space="preserve"> we cannot recalculate old series to provide a consistent time series between 2018 and 2019. </w:t>
      </w:r>
      <w:r w:rsidR="008B7000">
        <w:t xml:space="preserve">Users of the data should be aware of these breaks when analysing the data. </w:t>
      </w:r>
    </w:p>
    <w:p w:rsidR="00DC30C0" w:rsidRDefault="00DC30C0" w:rsidP="00B80797">
      <w:pPr>
        <w:jc w:val="both"/>
      </w:pPr>
      <w:r>
        <w:t>Among the 4 indicators the shift in the unemployment rate appears to be the least substantial as the new sample caused both employment and unemployment to increase meaning both the numerator and denominator of the unemployment rate were higher</w:t>
      </w:r>
      <w:r w:rsidR="00E20147">
        <w:t>.</w:t>
      </w:r>
    </w:p>
    <w:p w:rsidR="00E20147" w:rsidRDefault="00E20147" w:rsidP="00B80797">
      <w:pPr>
        <w:jc w:val="both"/>
      </w:pPr>
    </w:p>
    <w:p w:rsidR="00152F1B" w:rsidRPr="005772BD" w:rsidRDefault="00152F1B" w:rsidP="00152F1B">
      <w:pPr>
        <w:pStyle w:val="a7"/>
        <w:numPr>
          <w:ilvl w:val="0"/>
          <w:numId w:val="5"/>
        </w:numPr>
        <w:jc w:val="both"/>
        <w:rPr>
          <w:b/>
          <w:sz w:val="28"/>
        </w:rPr>
      </w:pPr>
      <w:r>
        <w:rPr>
          <w:b/>
          <w:sz w:val="28"/>
        </w:rPr>
        <w:t>Updated information available under the new stan</w:t>
      </w:r>
      <w:r w:rsidR="00310AA5">
        <w:rPr>
          <w:b/>
          <w:sz w:val="28"/>
        </w:rPr>
        <w:t>d</w:t>
      </w:r>
      <w:r>
        <w:rPr>
          <w:b/>
          <w:sz w:val="28"/>
        </w:rPr>
        <w:t>ards</w:t>
      </w:r>
      <w:r w:rsidRPr="005772BD">
        <w:rPr>
          <w:b/>
          <w:sz w:val="28"/>
        </w:rPr>
        <w:t>:</w:t>
      </w:r>
    </w:p>
    <w:p w:rsidR="005772BD" w:rsidRDefault="00152F1B" w:rsidP="00152F1B">
      <w:pPr>
        <w:jc w:val="both"/>
      </w:pPr>
      <w:r>
        <w:t xml:space="preserve">The </w:t>
      </w:r>
      <w:r w:rsidR="00CF7FBF">
        <w:t xml:space="preserve">earlier parts of the note </w:t>
      </w:r>
      <w:r>
        <w:t>focussed on explaining the impact of changes made to methodology on existing statistical series. While this is a key concern for users, it is not the only important change that has taken place. As well as applying latest international standards and practices, the updates allow a greater range of data to be generated for analytical purposes. Specifically new developments include:</w:t>
      </w:r>
    </w:p>
    <w:p w:rsidR="00152F1B" w:rsidRDefault="00152F1B" w:rsidP="00152F1B">
      <w:pPr>
        <w:pStyle w:val="a7"/>
        <w:numPr>
          <w:ilvl w:val="0"/>
          <w:numId w:val="15"/>
        </w:numPr>
        <w:jc w:val="both"/>
      </w:pPr>
      <w:r>
        <w:t>A wider range of indicators on labour underutilization now including time related underemployment and a group referred to as the potential labour force.</w:t>
      </w:r>
    </w:p>
    <w:p w:rsidR="00152F1B" w:rsidRDefault="00152F1B" w:rsidP="00152F1B">
      <w:pPr>
        <w:pStyle w:val="a7"/>
        <w:numPr>
          <w:ilvl w:val="0"/>
          <w:numId w:val="15"/>
        </w:numPr>
        <w:jc w:val="both"/>
      </w:pPr>
      <w:r>
        <w:t>Separate statistics showing the number of people doing unpaid work to produce foodstuff to supp</w:t>
      </w:r>
      <w:r w:rsidR="00897F20">
        <w:t>ort their household and family, mainly farming.</w:t>
      </w:r>
    </w:p>
    <w:p w:rsidR="00370064" w:rsidRDefault="00370064" w:rsidP="005F4DA9">
      <w:pPr>
        <w:jc w:val="both"/>
      </w:pPr>
      <w:r>
        <w:t>The impact on existing indicators has already been extensively discussed earlier in the report. The focus of table 10 is the range of key indicators now available when the new statistical standards are applied</w:t>
      </w:r>
      <w:r w:rsidR="00B10A16">
        <w:t>, as compared to those available under the previous standards</w:t>
      </w:r>
      <w:r>
        <w:t xml:space="preserve">. </w:t>
      </w:r>
    </w:p>
    <w:tbl>
      <w:tblPr>
        <w:tblW w:w="8236" w:type="dxa"/>
        <w:jc w:val="center"/>
        <w:tblLook w:val="04A0"/>
      </w:tblPr>
      <w:tblGrid>
        <w:gridCol w:w="8236"/>
      </w:tblGrid>
      <w:tr w:rsidR="00A60CAB" w:rsidRPr="00370064" w:rsidTr="005F4DA9">
        <w:trPr>
          <w:trHeight w:val="300"/>
          <w:jc w:val="center"/>
        </w:trPr>
        <w:tc>
          <w:tcPr>
            <w:tcW w:w="8236" w:type="dxa"/>
            <w:tcBorders>
              <w:top w:val="nil"/>
              <w:left w:val="nil"/>
              <w:bottom w:val="nil"/>
            </w:tcBorders>
            <w:shd w:val="clear" w:color="auto" w:fill="auto"/>
            <w:noWrap/>
            <w:vAlign w:val="bottom"/>
            <w:hideMark/>
          </w:tcPr>
          <w:tbl>
            <w:tblPr>
              <w:tblW w:w="8020" w:type="dxa"/>
              <w:tblLook w:val="04A0"/>
            </w:tblPr>
            <w:tblGrid>
              <w:gridCol w:w="4975"/>
              <w:gridCol w:w="1505"/>
              <w:gridCol w:w="1540"/>
            </w:tblGrid>
            <w:tr w:rsidR="008A52CF" w:rsidRPr="008A52CF" w:rsidTr="008A52CF">
              <w:trPr>
                <w:trHeight w:val="300"/>
              </w:trPr>
              <w:tc>
                <w:tcPr>
                  <w:tcW w:w="6480" w:type="dxa"/>
                  <w:gridSpan w:val="2"/>
                  <w:tcBorders>
                    <w:top w:val="nil"/>
                    <w:left w:val="nil"/>
                    <w:bottom w:val="nil"/>
                    <w:right w:val="nil"/>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Table 10 - Selected key indicators, old and new standards, 2018</w:t>
                  </w:r>
                </w:p>
              </w:tc>
              <w:tc>
                <w:tcPr>
                  <w:tcW w:w="1540" w:type="dxa"/>
                  <w:tcBorders>
                    <w:top w:val="nil"/>
                    <w:left w:val="nil"/>
                    <w:bottom w:val="nil"/>
                    <w:right w:val="nil"/>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color w:val="000000"/>
                      <w:lang w:eastAsia="en-GB"/>
                    </w:rPr>
                  </w:pPr>
                </w:p>
              </w:tc>
            </w:tr>
            <w:tr w:rsidR="008A52CF" w:rsidRPr="008A52CF" w:rsidTr="008A52CF">
              <w:trPr>
                <w:trHeight w:val="1155"/>
              </w:trPr>
              <w:tc>
                <w:tcPr>
                  <w:tcW w:w="49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A52CF" w:rsidRPr="008A52CF" w:rsidRDefault="008A52CF" w:rsidP="008A52CF">
                  <w:pPr>
                    <w:spacing w:after="0" w:line="240" w:lineRule="auto"/>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c>
                <w:tcPr>
                  <w:tcW w:w="1505" w:type="dxa"/>
                  <w:tcBorders>
                    <w:top w:val="single" w:sz="4" w:space="0" w:color="auto"/>
                    <w:left w:val="nil"/>
                    <w:bottom w:val="single" w:sz="4" w:space="0" w:color="auto"/>
                    <w:right w:val="single" w:sz="4" w:space="0" w:color="auto"/>
                  </w:tcBorders>
                  <w:shd w:val="clear" w:color="000000" w:fill="D9D9D9"/>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lang w:eastAsia="en-GB"/>
                    </w:rPr>
                  </w:pPr>
                  <w:r w:rsidRPr="008A52CF">
                    <w:rPr>
                      <w:rFonts w:ascii="Times New Roman" w:eastAsia="Times New Roman" w:hAnsi="Times New Roman" w:cs="Times New Roman"/>
                      <w:b/>
                      <w:bCs/>
                      <w:color w:val="000000"/>
                      <w:lang w:eastAsia="en-GB"/>
                    </w:rPr>
                    <w:t>Old Standards, stable population</w:t>
                  </w:r>
                </w:p>
              </w:tc>
              <w:tc>
                <w:tcPr>
                  <w:tcW w:w="1540" w:type="dxa"/>
                  <w:tcBorders>
                    <w:top w:val="single" w:sz="4" w:space="0" w:color="auto"/>
                    <w:left w:val="nil"/>
                    <w:bottom w:val="single" w:sz="4" w:space="0" w:color="auto"/>
                    <w:right w:val="single" w:sz="4" w:space="0" w:color="auto"/>
                  </w:tcBorders>
                  <w:shd w:val="clear" w:color="000000" w:fill="D9D9D9"/>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lang w:eastAsia="en-GB"/>
                    </w:rPr>
                  </w:pPr>
                  <w:r w:rsidRPr="008A52CF">
                    <w:rPr>
                      <w:rFonts w:ascii="Times New Roman" w:eastAsia="Times New Roman" w:hAnsi="Times New Roman" w:cs="Times New Roman"/>
                      <w:b/>
                      <w:bCs/>
                      <w:color w:val="000000"/>
                      <w:lang w:eastAsia="en-GB"/>
                    </w:rPr>
                    <w:t>New Standards, new population</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Working-Age Population (15+)</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E352AD" w:rsidP="00E352AD">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2982,9</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2220.2</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Labour Force (LF)</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1290.7</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828.1</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200" w:firstLine="36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Employed</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1252.2</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794.1</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400" w:firstLine="72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Time-Related Underemployment (TRU)</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5F4DA9" w:rsidRDefault="008A52CF">
                  <w:pPr>
                    <w:spacing w:after="0" w:line="240" w:lineRule="auto"/>
                    <w:jc w:val="right"/>
                    <w:rPr>
                      <w:rFonts w:ascii="Times New Roman" w:eastAsia="Times New Roman" w:hAnsi="Times New Roman" w:cs="Times New Roman"/>
                      <w:i/>
                      <w:color w:val="000000"/>
                      <w:lang w:eastAsia="en-GB"/>
                    </w:rPr>
                  </w:pPr>
                  <w:r w:rsidRPr="005F4DA9">
                    <w:rPr>
                      <w:rFonts w:ascii="Times New Roman" w:eastAsia="Times New Roman" w:hAnsi="Times New Roman" w:cs="Times New Roman"/>
                      <w:i/>
                      <w:color w:val="000000"/>
                      <w:lang w:eastAsia="en-GB"/>
                    </w:rPr>
                    <w:t>35.2</w:t>
                  </w:r>
                  <w:r w:rsidRPr="005F4DA9">
                    <w:rPr>
                      <w:rFonts w:ascii="Times New Roman" w:eastAsia="Times New Roman" w:hAnsi="Times New Roman" w:cs="Times New Roman"/>
                      <w:i/>
                      <w:color w:val="000000"/>
                      <w:vertAlign w:val="superscript"/>
                      <w:lang w:eastAsia="en-GB"/>
                    </w:rPr>
                    <w:t>a</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27.0</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200" w:firstLine="36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Unemployed</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38.4</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34.1</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Outside the LF</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1692.2</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1392.1</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Potential Labour Force (PLF)</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5F4DA9" w:rsidRDefault="008A52CF" w:rsidP="008A52CF">
                  <w:pPr>
                    <w:spacing w:after="0" w:line="240" w:lineRule="auto"/>
                    <w:jc w:val="right"/>
                    <w:rPr>
                      <w:rFonts w:ascii="Times New Roman" w:eastAsia="Times New Roman" w:hAnsi="Times New Roman" w:cs="Times New Roman"/>
                      <w:i/>
                      <w:color w:val="000000"/>
                      <w:lang w:eastAsia="en-GB"/>
                    </w:rPr>
                  </w:pPr>
                  <w:r w:rsidRPr="005F4DA9">
                    <w:rPr>
                      <w:rFonts w:ascii="Times New Roman" w:eastAsia="Times New Roman" w:hAnsi="Times New Roman" w:cs="Times New Roman"/>
                      <w:i/>
                      <w:color w:val="000000"/>
                      <w:lang w:eastAsia="en-GB"/>
                    </w:rPr>
                    <w:t>9.6</w:t>
                  </w:r>
                  <w:r w:rsidRPr="005F4DA9">
                    <w:rPr>
                      <w:rFonts w:ascii="Times New Roman" w:eastAsia="Times New Roman" w:hAnsi="Times New Roman" w:cs="Times New Roman"/>
                      <w:i/>
                      <w:color w:val="000000"/>
                      <w:vertAlign w:val="superscript"/>
                      <w:lang w:eastAsia="en-GB"/>
                    </w:rPr>
                    <w:t xml:space="preserve"> a</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18.4</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center"/>
                  <w:hideMark/>
                </w:tcPr>
                <w:p w:rsidR="008A52CF" w:rsidRPr="008A52CF" w:rsidRDefault="008A52CF" w:rsidP="008A52CF">
                  <w:pPr>
                    <w:spacing w:after="0" w:line="240" w:lineRule="auto"/>
                    <w:ind w:firstLineChars="300" w:firstLine="54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PLF: Seeking, not available</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5F4DA9" w:rsidRDefault="008A52CF" w:rsidP="008A52CF">
                  <w:pPr>
                    <w:spacing w:after="0" w:line="240" w:lineRule="auto"/>
                    <w:jc w:val="right"/>
                    <w:rPr>
                      <w:rFonts w:ascii="Times New Roman" w:eastAsia="Times New Roman" w:hAnsi="Times New Roman" w:cs="Times New Roman"/>
                      <w:i/>
                      <w:color w:val="000000"/>
                      <w:lang w:eastAsia="en-GB"/>
                    </w:rPr>
                  </w:pPr>
                  <w:r w:rsidRPr="005F4DA9">
                    <w:rPr>
                      <w:rFonts w:ascii="Times New Roman" w:eastAsia="Times New Roman" w:hAnsi="Times New Roman" w:cs="Times New Roman"/>
                      <w:i/>
                      <w:color w:val="000000"/>
                      <w:lang w:eastAsia="en-GB"/>
                    </w:rPr>
                    <w:t>1.5</w:t>
                  </w:r>
                  <w:r w:rsidRPr="005F4DA9">
                    <w:rPr>
                      <w:rFonts w:ascii="Times New Roman" w:eastAsia="Times New Roman" w:hAnsi="Times New Roman" w:cs="Times New Roman"/>
                      <w:i/>
                      <w:color w:val="000000"/>
                      <w:vertAlign w:val="superscript"/>
                      <w:lang w:eastAsia="en-GB"/>
                    </w:rPr>
                    <w:t xml:space="preserve"> a</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1.3</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center"/>
                  <w:hideMark/>
                </w:tcPr>
                <w:p w:rsidR="008A52CF" w:rsidRPr="008A52CF" w:rsidRDefault="008A52CF" w:rsidP="008A52CF">
                  <w:pPr>
                    <w:spacing w:after="0" w:line="240" w:lineRule="auto"/>
                    <w:ind w:firstLineChars="300" w:firstLine="54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PLF: Available, not seeking</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5F4DA9" w:rsidRDefault="008A52CF" w:rsidP="008A52CF">
                  <w:pPr>
                    <w:spacing w:after="0" w:line="240" w:lineRule="auto"/>
                    <w:jc w:val="right"/>
                    <w:rPr>
                      <w:rFonts w:ascii="Times New Roman" w:eastAsia="Times New Roman" w:hAnsi="Times New Roman" w:cs="Times New Roman"/>
                      <w:i/>
                      <w:color w:val="000000"/>
                      <w:lang w:eastAsia="en-GB"/>
                    </w:rPr>
                  </w:pPr>
                  <w:r w:rsidRPr="005F4DA9">
                    <w:rPr>
                      <w:rFonts w:ascii="Times New Roman" w:eastAsia="Times New Roman" w:hAnsi="Times New Roman" w:cs="Times New Roman"/>
                      <w:i/>
                      <w:color w:val="000000"/>
                      <w:lang w:eastAsia="en-GB"/>
                    </w:rPr>
                    <w:t>8.1</w:t>
                  </w:r>
                  <w:r w:rsidRPr="005F4DA9">
                    <w:rPr>
                      <w:rFonts w:ascii="Times New Roman" w:eastAsia="Times New Roman" w:hAnsi="Times New Roman" w:cs="Times New Roman"/>
                      <w:i/>
                      <w:color w:val="000000"/>
                      <w:vertAlign w:val="superscript"/>
                      <w:lang w:eastAsia="en-GB"/>
                    </w:rPr>
                    <w:t xml:space="preserve"> a</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17.1</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Others outside the labour force</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5F4DA9" w:rsidRDefault="008A52CF" w:rsidP="008A52CF">
                  <w:pPr>
                    <w:spacing w:after="0" w:line="240" w:lineRule="auto"/>
                    <w:jc w:val="right"/>
                    <w:rPr>
                      <w:rFonts w:ascii="Times New Roman" w:eastAsia="Times New Roman" w:hAnsi="Times New Roman" w:cs="Times New Roman"/>
                      <w:i/>
                      <w:color w:val="000000"/>
                      <w:lang w:eastAsia="en-GB"/>
                    </w:rPr>
                  </w:pPr>
                  <w:r w:rsidRPr="005F4DA9">
                    <w:rPr>
                      <w:rFonts w:ascii="Times New Roman" w:eastAsia="Times New Roman" w:hAnsi="Times New Roman" w:cs="Times New Roman"/>
                      <w:i/>
                      <w:color w:val="000000"/>
                      <w:lang w:eastAsia="en-GB"/>
                    </w:rPr>
                    <w:t>1682.6</w:t>
                  </w:r>
                  <w:r w:rsidRPr="005F4DA9">
                    <w:rPr>
                      <w:rFonts w:ascii="Times New Roman" w:eastAsia="Times New Roman" w:hAnsi="Times New Roman" w:cs="Times New Roman"/>
                      <w:i/>
                      <w:color w:val="000000"/>
                      <w:vertAlign w:val="superscript"/>
                      <w:lang w:eastAsia="en-GB"/>
                    </w:rPr>
                    <w:t xml:space="preserve"> a</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1373.6</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 </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r>
            <w:tr w:rsidR="008A52CF" w:rsidRPr="008A52CF" w:rsidTr="00A44F15">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 xml:space="preserve">Subsistence food producer </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894.6</w:t>
                  </w:r>
                </w:p>
              </w:tc>
            </w:tr>
            <w:tr w:rsidR="00A44F15" w:rsidRPr="008A52CF" w:rsidTr="00A44F15">
              <w:trPr>
                <w:trHeight w:val="300"/>
              </w:trPr>
              <w:tc>
                <w:tcPr>
                  <w:tcW w:w="4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44F15" w:rsidRPr="008A52CF" w:rsidRDefault="00A44F15" w:rsidP="00A44F15">
                  <w:pPr>
                    <w:spacing w:after="0" w:line="240" w:lineRule="auto"/>
                    <w:ind w:firstLineChars="100" w:firstLine="22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lang w:eastAsia="en-GB"/>
                    </w:rPr>
                    <w:lastRenderedPageBreak/>
                    <w:t> </w:t>
                  </w:r>
                </w:p>
              </w:tc>
              <w:tc>
                <w:tcPr>
                  <w:tcW w:w="15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44F15" w:rsidRPr="008A52CF" w:rsidRDefault="00A44F15"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b/>
                      <w:bCs/>
                      <w:color w:val="000000"/>
                      <w:lang w:eastAsia="en-GB"/>
                    </w:rPr>
                    <w:t>Old Standards, stable population</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44F15" w:rsidRPr="008A52CF" w:rsidRDefault="00A44F15"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b/>
                      <w:bCs/>
                      <w:color w:val="000000"/>
                      <w:lang w:eastAsia="en-GB"/>
                    </w:rPr>
                    <w:t>New Standards, new population</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Rates (%)</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Participation rates</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Labour force participation rate</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E352AD" w:rsidP="00E352AD">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43,3</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37.3</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Employment to population ratio</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E352AD" w:rsidP="00E352AD">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42,0</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35.8</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Subsistence foodstuff producer rate</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40.3</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 </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rPr>
                      <w:rFonts w:ascii="Times New Roman" w:eastAsia="Times New Roman" w:hAnsi="Times New Roman" w:cs="Times New Roman"/>
                      <w:b/>
                      <w:bCs/>
                      <w:color w:val="000000"/>
                      <w:sz w:val="18"/>
                      <w:szCs w:val="18"/>
                      <w:lang w:eastAsia="en-GB"/>
                    </w:rPr>
                  </w:pPr>
                  <w:r w:rsidRPr="008A52CF">
                    <w:rPr>
                      <w:rFonts w:ascii="Times New Roman" w:eastAsia="Times New Roman" w:hAnsi="Times New Roman" w:cs="Times New Roman"/>
                      <w:b/>
                      <w:bCs/>
                      <w:color w:val="000000"/>
                      <w:sz w:val="18"/>
                      <w:szCs w:val="18"/>
                      <w:lang w:eastAsia="en-GB"/>
                    </w:rPr>
                    <w:t>Labour underutilsation rates</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 </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LU1 = Unemployment</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3.0</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4.1</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LU2 = TRU + Unemployment</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7.4</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LU3 = Unemployment + PLF</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6.2</w:t>
                  </w:r>
                </w:p>
              </w:tc>
            </w:tr>
            <w:tr w:rsidR="008A52CF" w:rsidRPr="008A52CF" w:rsidTr="008A52CF">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ind w:firstLineChars="100" w:firstLine="180"/>
                    <w:rPr>
                      <w:rFonts w:ascii="Times New Roman" w:eastAsia="Times New Roman" w:hAnsi="Times New Roman" w:cs="Times New Roman"/>
                      <w:color w:val="000000"/>
                      <w:sz w:val="18"/>
                      <w:szCs w:val="18"/>
                      <w:lang w:eastAsia="en-GB"/>
                    </w:rPr>
                  </w:pPr>
                  <w:r w:rsidRPr="008A52CF">
                    <w:rPr>
                      <w:rFonts w:ascii="Times New Roman" w:eastAsia="Times New Roman" w:hAnsi="Times New Roman" w:cs="Times New Roman"/>
                      <w:color w:val="000000"/>
                      <w:sz w:val="18"/>
                      <w:szCs w:val="18"/>
                      <w:lang w:eastAsia="en-GB"/>
                    </w:rPr>
                    <w:t xml:space="preserve">LU4 = TRU + U + PLF </w:t>
                  </w:r>
                </w:p>
              </w:tc>
              <w:tc>
                <w:tcPr>
                  <w:tcW w:w="1505"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w:t>
                  </w:r>
                </w:p>
              </w:tc>
              <w:tc>
                <w:tcPr>
                  <w:tcW w:w="1540" w:type="dxa"/>
                  <w:tcBorders>
                    <w:top w:val="nil"/>
                    <w:left w:val="nil"/>
                    <w:bottom w:val="single" w:sz="4" w:space="0" w:color="auto"/>
                    <w:right w:val="single" w:sz="4" w:space="0" w:color="auto"/>
                  </w:tcBorders>
                  <w:shd w:val="clear" w:color="auto" w:fill="auto"/>
                  <w:noWrap/>
                  <w:vAlign w:val="bottom"/>
                  <w:hideMark/>
                </w:tcPr>
                <w:p w:rsidR="008A52CF" w:rsidRPr="008A52CF" w:rsidRDefault="008A52CF" w:rsidP="008A52CF">
                  <w:pPr>
                    <w:spacing w:after="0" w:line="240" w:lineRule="auto"/>
                    <w:jc w:val="right"/>
                    <w:rPr>
                      <w:rFonts w:ascii="Times New Roman" w:eastAsia="Times New Roman" w:hAnsi="Times New Roman" w:cs="Times New Roman"/>
                      <w:color w:val="000000"/>
                      <w:lang w:eastAsia="en-GB"/>
                    </w:rPr>
                  </w:pPr>
                  <w:r w:rsidRPr="008A52CF">
                    <w:rPr>
                      <w:rFonts w:ascii="Times New Roman" w:eastAsia="Times New Roman" w:hAnsi="Times New Roman" w:cs="Times New Roman"/>
                      <w:color w:val="000000"/>
                      <w:lang w:eastAsia="en-GB"/>
                    </w:rPr>
                    <w:t>9.4</w:t>
                  </w:r>
                </w:p>
              </w:tc>
            </w:tr>
          </w:tbl>
          <w:p w:rsidR="008A52CF" w:rsidRDefault="008A52CF" w:rsidP="00B10A16">
            <w:pPr>
              <w:spacing w:after="0" w:line="240" w:lineRule="auto"/>
              <w:rPr>
                <w:rFonts w:ascii="Times New Roman" w:eastAsia="Times New Roman" w:hAnsi="Times New Roman" w:cs="Times New Roman"/>
                <w:color w:val="000000"/>
                <w:lang w:eastAsia="en-GB"/>
              </w:rPr>
            </w:pPr>
            <w:r w:rsidRPr="005F4DA9">
              <w:rPr>
                <w:rFonts w:ascii="Times New Roman" w:eastAsia="Times New Roman" w:hAnsi="Times New Roman" w:cs="Times New Roman"/>
                <w:i/>
                <w:color w:val="000000"/>
                <w:sz w:val="18"/>
                <w:vertAlign w:val="superscript"/>
                <w:lang w:eastAsia="en-GB"/>
              </w:rPr>
              <w:t>a</w:t>
            </w:r>
            <w:r w:rsidRPr="005F4DA9">
              <w:rPr>
                <w:rFonts w:ascii="Times New Roman" w:eastAsia="Times New Roman" w:hAnsi="Times New Roman" w:cs="Times New Roman"/>
                <w:i/>
                <w:color w:val="000000"/>
                <w:sz w:val="18"/>
                <w:lang w:eastAsia="en-GB"/>
              </w:rPr>
              <w:t>Similar indicators were already being published by NBS although not covered by the 13</w:t>
            </w:r>
            <w:r w:rsidRPr="005F4DA9">
              <w:rPr>
                <w:rFonts w:ascii="Times New Roman" w:eastAsia="Times New Roman" w:hAnsi="Times New Roman" w:cs="Times New Roman"/>
                <w:i/>
                <w:color w:val="000000"/>
                <w:sz w:val="18"/>
                <w:vertAlign w:val="superscript"/>
                <w:lang w:eastAsia="en-GB"/>
              </w:rPr>
              <w:t>th</w:t>
            </w:r>
            <w:r w:rsidRPr="005F4DA9">
              <w:rPr>
                <w:rFonts w:ascii="Times New Roman" w:eastAsia="Times New Roman" w:hAnsi="Times New Roman" w:cs="Times New Roman"/>
                <w:i/>
                <w:color w:val="000000"/>
                <w:sz w:val="18"/>
                <w:lang w:eastAsia="en-GB"/>
              </w:rPr>
              <w:t xml:space="preserve"> ICLS standards</w:t>
            </w:r>
          </w:p>
          <w:p w:rsidR="008A52CF" w:rsidRPr="00370064" w:rsidRDefault="008A52CF" w:rsidP="00B10A16">
            <w:pPr>
              <w:spacing w:after="0" w:line="240" w:lineRule="auto"/>
              <w:rPr>
                <w:rFonts w:ascii="Times New Roman" w:eastAsia="Times New Roman" w:hAnsi="Times New Roman" w:cs="Times New Roman"/>
                <w:color w:val="000000"/>
                <w:lang w:eastAsia="en-GB"/>
              </w:rPr>
            </w:pPr>
          </w:p>
        </w:tc>
      </w:tr>
    </w:tbl>
    <w:p w:rsidR="00370064" w:rsidRDefault="00BD0A29" w:rsidP="005F4DA9">
      <w:pPr>
        <w:jc w:val="both"/>
      </w:pPr>
      <w:r>
        <w:lastRenderedPageBreak/>
        <w:t>Among the highlights</w:t>
      </w:r>
      <w:r w:rsidR="006E6469">
        <w:t xml:space="preserve"> from table 10</w:t>
      </w:r>
      <w:r>
        <w:t xml:space="preserve"> we can see:</w:t>
      </w:r>
    </w:p>
    <w:p w:rsidR="00BD0A29" w:rsidRDefault="00BD0A29" w:rsidP="005F4DA9">
      <w:pPr>
        <w:pStyle w:val="a7"/>
        <w:numPr>
          <w:ilvl w:val="0"/>
          <w:numId w:val="16"/>
        </w:numPr>
        <w:jc w:val="both"/>
      </w:pPr>
      <w:r>
        <w:t xml:space="preserve">An indicator </w:t>
      </w:r>
      <w:r w:rsidR="00A60CAB">
        <w:t>showing</w:t>
      </w:r>
      <w:r>
        <w:t xml:space="preserve"> the prevalence of </w:t>
      </w:r>
      <w:r w:rsidRPr="005F4DA9">
        <w:rPr>
          <w:i/>
        </w:rPr>
        <w:t>work done to produce foodstuff for family consumption</w:t>
      </w:r>
      <w:r w:rsidR="006E6469" w:rsidRPr="005F4DA9">
        <w:rPr>
          <w:i/>
        </w:rPr>
        <w:t xml:space="preserve"> (subsistence foodstuff producers)</w:t>
      </w:r>
      <w:r>
        <w:t>. On average during 2018, 894,600 were doing this type of work, representing 40.3% of all people aged 15+. Some of these people were identified as employed under the old standards</w:t>
      </w:r>
      <w:r w:rsidR="00A60CAB">
        <w:t xml:space="preserve"> (if they worked more than 20 hours a week),</w:t>
      </w:r>
      <w:r>
        <w:t xml:space="preserve"> with the remainder within the group called </w:t>
      </w:r>
      <w:r w:rsidRPr="005F4DA9">
        <w:rPr>
          <w:i/>
        </w:rPr>
        <w:t>Outside the labour force</w:t>
      </w:r>
      <w:r>
        <w:t xml:space="preserve"> meaning no information was presented on the </w:t>
      </w:r>
      <w:r w:rsidR="00FD0B4E">
        <w:t xml:space="preserve">unpaid </w:t>
      </w:r>
      <w:r>
        <w:t>work activities they were doing.</w:t>
      </w:r>
    </w:p>
    <w:p w:rsidR="00BD0A29" w:rsidRDefault="00BD0A29" w:rsidP="005F4DA9">
      <w:pPr>
        <w:pStyle w:val="a7"/>
        <w:numPr>
          <w:ilvl w:val="0"/>
          <w:numId w:val="16"/>
        </w:numPr>
        <w:jc w:val="both"/>
      </w:pPr>
      <w:r>
        <w:t xml:space="preserve">In addition to 34,100 unemployed, we can see an addition 27,000 people in </w:t>
      </w:r>
      <w:r w:rsidRPr="005F4DA9">
        <w:rPr>
          <w:i/>
        </w:rPr>
        <w:t>time-related underemployment</w:t>
      </w:r>
      <w:r>
        <w:t xml:space="preserve"> (wanting and available to work more hours), and 18,400 in the </w:t>
      </w:r>
      <w:r w:rsidRPr="005F4DA9">
        <w:rPr>
          <w:i/>
        </w:rPr>
        <w:t>potential labour force</w:t>
      </w:r>
      <w:r>
        <w:t>. This means that while the unemployment rate was 4.1%, the widest measure of labour underutilization was 9.4%. It should be emphasised that these measures should be seen as supplementary, not in competition or as replacements for the unemployment estimates.</w:t>
      </w:r>
      <w:r w:rsidR="006E6469">
        <w:t xml:space="preserve"> They highlight groups of people who are placing some pressure on the labour market, but perhaps not to the same extent or in the same way as those who are unemployed (without employment, immediately available and looking for work).</w:t>
      </w:r>
    </w:p>
    <w:p w:rsidR="005C58D7" w:rsidRDefault="006E6469" w:rsidP="005F4DA9">
      <w:pPr>
        <w:jc w:val="both"/>
      </w:pPr>
      <w:r>
        <w:t xml:space="preserve">Another useful analysis which is now enabled is a more detailed perspective on those doing work to produce food for family consumption. </w:t>
      </w:r>
      <w:r w:rsidR="002650C6">
        <w:t>This allows us to see how people combined different types of work to support their family and can highlight important differences between urban and rural areas</w:t>
      </w:r>
      <w:r w:rsidR="00FD0B4E">
        <w:t>, men and women,</w:t>
      </w:r>
      <w:r w:rsidR="002650C6">
        <w:t xml:space="preserve"> or other groups in the population.</w:t>
      </w:r>
      <w:r w:rsidR="00FD0B4E">
        <w:t xml:space="preserve"> </w:t>
      </w:r>
      <w:r>
        <w:t>The new standards recommend</w:t>
      </w:r>
      <w:r w:rsidR="00A60CAB">
        <w:t xml:space="preserve"> producing separate statistics on this group. Various types of analysis are possible. One approach is to look at the labour force status of these people, as presented in </w:t>
      </w:r>
      <w:r w:rsidR="00453BD8">
        <w:t>Figure</w:t>
      </w:r>
      <w:r w:rsidR="00A60CAB">
        <w:t xml:space="preserve"> 11</w:t>
      </w:r>
      <w:r w:rsidR="00B10A16">
        <w:t>.</w:t>
      </w:r>
      <w:r w:rsidR="00453BD8">
        <w:t xml:space="preserve"> We can see that, of the 894,600 foodstuff producers, approximately one quarter (220,000) were </w:t>
      </w:r>
      <w:r w:rsidR="00FD0B4E">
        <w:t xml:space="preserve">also </w:t>
      </w:r>
      <w:r w:rsidR="00453BD8">
        <w:t>employed</w:t>
      </w:r>
      <w:r w:rsidR="00FD0B4E">
        <w:t>,</w:t>
      </w:r>
      <w:r w:rsidR="00453BD8">
        <w:t xml:space="preserve"> as they had some other job or business they were doing to generate an income. </w:t>
      </w:r>
    </w:p>
    <w:p w:rsidR="00370064" w:rsidRPr="00453BD8" w:rsidRDefault="00453BD8" w:rsidP="005F4DA9">
      <w:pPr>
        <w:jc w:val="both"/>
      </w:pPr>
      <w:r>
        <w:t>Of the remaining three quarters</w:t>
      </w:r>
      <w:r w:rsidR="000D47EA">
        <w:t xml:space="preserve"> (674,600)</w:t>
      </w:r>
      <w:r>
        <w:t xml:space="preserve">, </w:t>
      </w:r>
      <w:r w:rsidR="002650C6">
        <w:t>low</w:t>
      </w:r>
      <w:r>
        <w:t xml:space="preserve"> numbers were unemployed or in the potential labour force, with the large majority (642,300) falling into the </w:t>
      </w:r>
      <w:r>
        <w:rPr>
          <w:i/>
        </w:rPr>
        <w:t xml:space="preserve">Others outside the labour force </w:t>
      </w:r>
      <w:r>
        <w:t>group.</w:t>
      </w:r>
    </w:p>
    <w:p w:rsidR="00453BD8" w:rsidRDefault="00453BD8" w:rsidP="005F4DA9">
      <w:pPr>
        <w:jc w:val="center"/>
      </w:pPr>
      <w:r>
        <w:rPr>
          <w:noProof/>
          <w:lang w:val="ru-RU" w:eastAsia="ru-RU"/>
        </w:rPr>
        <w:lastRenderedPageBreak/>
        <w:drawing>
          <wp:inline distT="0" distB="0" distL="0" distR="0">
            <wp:extent cx="5132705" cy="3486150"/>
            <wp:effectExtent l="0" t="0" r="1079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3BD8" w:rsidRDefault="00453BD8" w:rsidP="005F4DA9">
      <w:pPr>
        <w:jc w:val="both"/>
      </w:pPr>
      <w:r>
        <w:t>We can extend this analysis in various ways. Figure 12 shows that there were more females than males engaged in subsistence foodstuff production</w:t>
      </w:r>
      <w:r w:rsidR="005C58D7">
        <w:t>.</w:t>
      </w:r>
      <w:r>
        <w:t xml:space="preserve"> </w:t>
      </w:r>
      <w:r w:rsidR="005C58D7">
        <w:t xml:space="preserve">However, </w:t>
      </w:r>
      <w:r>
        <w:t>male</w:t>
      </w:r>
      <w:r w:rsidR="005C58D7">
        <w:t xml:space="preserve"> subsistence foodstuff producers</w:t>
      </w:r>
      <w:r>
        <w:t xml:space="preserve"> were relatively more likely to have </w:t>
      </w:r>
      <w:r w:rsidR="005C58D7">
        <w:t xml:space="preserve">some </w:t>
      </w:r>
      <w:r>
        <w:t>engagement with the labour market, either as employed, unemployed</w:t>
      </w:r>
      <w:r w:rsidR="00FD0B4E">
        <w:t>,</w:t>
      </w:r>
      <w:r>
        <w:t xml:space="preserve"> or being in the potential labour force.</w:t>
      </w:r>
    </w:p>
    <w:p w:rsidR="00453BD8" w:rsidRDefault="00453BD8" w:rsidP="005F4DA9">
      <w:pPr>
        <w:jc w:val="center"/>
      </w:pPr>
      <w:r>
        <w:rPr>
          <w:noProof/>
          <w:lang w:val="ru-RU" w:eastAsia="ru-RU"/>
        </w:rPr>
        <w:drawing>
          <wp:inline distT="0" distB="0" distL="0" distR="0">
            <wp:extent cx="5467350" cy="2914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3BD8" w:rsidRDefault="005C58D7" w:rsidP="005F4DA9">
      <w:pPr>
        <w:jc w:val="both"/>
      </w:pPr>
      <w:r>
        <w:t>Further</w:t>
      </w:r>
      <w:r w:rsidR="00282CA8">
        <w:t>,</w:t>
      </w:r>
      <w:r>
        <w:t xml:space="preserve"> we can compare the labour force engagement of subsistence foodstuff producers to those not doing this type of work. Table 11 shows that subsistence foodstuff producers had lower employment to population ratios but higher rates of labour underutilization, as compared to people who were not subsistence foodstuff producers. In combination</w:t>
      </w:r>
      <w:r w:rsidR="00282CA8">
        <w:t>,</w:t>
      </w:r>
      <w:r>
        <w:t xml:space="preserve"> this suggests that this type of work was creating some barriers to entry to the labour market, while still not satisfying the needs of individuals for labour market engagement.</w:t>
      </w:r>
    </w:p>
    <w:tbl>
      <w:tblPr>
        <w:tblW w:w="8120" w:type="dxa"/>
        <w:jc w:val="center"/>
        <w:tblLook w:val="04A0"/>
      </w:tblPr>
      <w:tblGrid>
        <w:gridCol w:w="3633"/>
        <w:gridCol w:w="682"/>
        <w:gridCol w:w="2123"/>
        <w:gridCol w:w="1682"/>
      </w:tblGrid>
      <w:tr w:rsidR="00B10A16" w:rsidRPr="00B10A16" w:rsidTr="005F4DA9">
        <w:trPr>
          <w:trHeight w:val="645"/>
          <w:jc w:val="center"/>
        </w:trPr>
        <w:tc>
          <w:tcPr>
            <w:tcW w:w="8120" w:type="dxa"/>
            <w:gridSpan w:val="4"/>
            <w:tcBorders>
              <w:top w:val="nil"/>
              <w:left w:val="nil"/>
              <w:bottom w:val="single" w:sz="4" w:space="0" w:color="auto"/>
              <w:right w:val="nil"/>
            </w:tcBorders>
            <w:shd w:val="clear" w:color="auto" w:fill="auto"/>
            <w:vAlign w:val="bottom"/>
            <w:hideMark/>
          </w:tcPr>
          <w:p w:rsidR="00B10A16" w:rsidRDefault="00B10A16">
            <w:pPr>
              <w:spacing w:after="0" w:line="240" w:lineRule="auto"/>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lastRenderedPageBreak/>
              <w:t xml:space="preserve">Table 11 - Labour Force Status,  Subsistence </w:t>
            </w:r>
            <w:r w:rsidR="00282CA8">
              <w:rPr>
                <w:rFonts w:ascii="Times New Roman" w:eastAsia="Times New Roman" w:hAnsi="Times New Roman" w:cs="Times New Roman"/>
                <w:color w:val="000000"/>
                <w:lang w:eastAsia="en-GB"/>
              </w:rPr>
              <w:t>f</w:t>
            </w:r>
            <w:r w:rsidRPr="00B10A16">
              <w:rPr>
                <w:rFonts w:ascii="Times New Roman" w:eastAsia="Times New Roman" w:hAnsi="Times New Roman" w:cs="Times New Roman"/>
                <w:color w:val="000000"/>
                <w:lang w:eastAsia="en-GB"/>
              </w:rPr>
              <w:t xml:space="preserve">oodstuff </w:t>
            </w:r>
            <w:r w:rsidR="00282CA8">
              <w:rPr>
                <w:rFonts w:ascii="Times New Roman" w:eastAsia="Times New Roman" w:hAnsi="Times New Roman" w:cs="Times New Roman"/>
                <w:color w:val="000000"/>
                <w:lang w:eastAsia="en-GB"/>
              </w:rPr>
              <w:t>p</w:t>
            </w:r>
            <w:r w:rsidRPr="00B10A16">
              <w:rPr>
                <w:rFonts w:ascii="Times New Roman" w:eastAsia="Times New Roman" w:hAnsi="Times New Roman" w:cs="Times New Roman"/>
                <w:color w:val="000000"/>
                <w:lang w:eastAsia="en-GB"/>
              </w:rPr>
              <w:t>roducers and non</w:t>
            </w:r>
            <w:r w:rsidR="00282CA8">
              <w:rPr>
                <w:rFonts w:ascii="Times New Roman" w:eastAsia="Times New Roman" w:hAnsi="Times New Roman" w:cs="Times New Roman"/>
                <w:color w:val="000000"/>
                <w:lang w:eastAsia="en-GB"/>
              </w:rPr>
              <w:t>-</w:t>
            </w:r>
            <w:r w:rsidRPr="00B10A16">
              <w:rPr>
                <w:rFonts w:ascii="Times New Roman" w:eastAsia="Times New Roman" w:hAnsi="Times New Roman" w:cs="Times New Roman"/>
                <w:color w:val="000000"/>
                <w:lang w:eastAsia="en-GB"/>
              </w:rPr>
              <w:t>subsistence foodstuff producers (new standards), 2018</w:t>
            </w:r>
          </w:p>
          <w:p w:rsidR="00245FB5" w:rsidRPr="00B10A16" w:rsidRDefault="00245FB5">
            <w:pPr>
              <w:spacing w:after="0" w:line="240" w:lineRule="auto"/>
              <w:rPr>
                <w:rFonts w:ascii="Times New Roman" w:eastAsia="Times New Roman" w:hAnsi="Times New Roman" w:cs="Times New Roman"/>
                <w:color w:val="000000"/>
                <w:lang w:eastAsia="en-GB"/>
              </w:rPr>
            </w:pPr>
          </w:p>
        </w:tc>
      </w:tr>
      <w:tr w:rsidR="00B10A16" w:rsidRPr="00B10A16" w:rsidTr="005F4DA9">
        <w:trPr>
          <w:trHeight w:val="1200"/>
          <w:jc w:val="center"/>
        </w:trPr>
        <w:tc>
          <w:tcPr>
            <w:tcW w:w="3633" w:type="dxa"/>
            <w:tcBorders>
              <w:top w:val="nil"/>
              <w:left w:val="single" w:sz="4" w:space="0" w:color="auto"/>
              <w:bottom w:val="single" w:sz="4" w:space="0" w:color="auto"/>
              <w:right w:val="single" w:sz="4" w:space="0" w:color="auto"/>
            </w:tcBorders>
            <w:shd w:val="clear" w:color="000000" w:fill="D9D9D9"/>
            <w:noWrap/>
            <w:vAlign w:val="bottom"/>
            <w:hideMark/>
          </w:tcPr>
          <w:p w:rsidR="00B10A16" w:rsidRPr="00B10A16" w:rsidRDefault="00B10A16" w:rsidP="00B10A16">
            <w:pPr>
              <w:spacing w:after="0" w:line="240" w:lineRule="auto"/>
              <w:rPr>
                <w:rFonts w:ascii="Calibri" w:eastAsia="Times New Roman" w:hAnsi="Calibri" w:cs="Calibri"/>
                <w:color w:val="000000"/>
                <w:lang w:eastAsia="en-GB"/>
              </w:rPr>
            </w:pPr>
            <w:r w:rsidRPr="00B10A16">
              <w:rPr>
                <w:rFonts w:ascii="Calibri" w:eastAsia="Times New Roman" w:hAnsi="Calibri" w:cs="Calibri"/>
                <w:color w:val="000000"/>
                <w:lang w:eastAsia="en-GB"/>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Total</w:t>
            </w:r>
          </w:p>
        </w:tc>
        <w:tc>
          <w:tcPr>
            <w:tcW w:w="2123" w:type="dxa"/>
            <w:tcBorders>
              <w:top w:val="nil"/>
              <w:left w:val="nil"/>
              <w:bottom w:val="single" w:sz="4" w:space="0" w:color="auto"/>
              <w:right w:val="single" w:sz="4" w:space="0" w:color="auto"/>
            </w:tcBorders>
            <w:shd w:val="clear" w:color="000000" w:fill="D9D9D9"/>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Subsistence Foodstuff Producers</w:t>
            </w:r>
          </w:p>
        </w:tc>
        <w:tc>
          <w:tcPr>
            <w:tcW w:w="1682" w:type="dxa"/>
            <w:tcBorders>
              <w:top w:val="nil"/>
              <w:left w:val="nil"/>
              <w:bottom w:val="single" w:sz="4" w:space="0" w:color="auto"/>
              <w:right w:val="single" w:sz="4" w:space="0" w:color="auto"/>
            </w:tcBorders>
            <w:shd w:val="clear" w:color="000000" w:fill="D9D9D9"/>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Non-subsistence foodstuff producers</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rPr>
                <w:rFonts w:ascii="Times New Roman" w:eastAsia="Times New Roman" w:hAnsi="Times New Roman" w:cs="Times New Roman"/>
                <w:b/>
                <w:bCs/>
                <w:color w:val="000000"/>
                <w:sz w:val="18"/>
                <w:szCs w:val="18"/>
                <w:lang w:eastAsia="en-GB"/>
              </w:rPr>
            </w:pPr>
            <w:r w:rsidRPr="00B10A16">
              <w:rPr>
                <w:rFonts w:ascii="Times New Roman" w:eastAsia="Times New Roman" w:hAnsi="Times New Roman" w:cs="Times New Roman"/>
                <w:b/>
                <w:bCs/>
                <w:color w:val="000000"/>
                <w:sz w:val="18"/>
                <w:szCs w:val="18"/>
                <w:lang w:eastAsia="en-GB"/>
              </w:rPr>
              <w:t>Participation rates</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center"/>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center"/>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center"/>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Labour force participation rate</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37.3</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26.3</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44.7</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Employment to population ratio</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35.8</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24.5</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43.3</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 </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 </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 </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rPr>
                <w:rFonts w:ascii="Times New Roman" w:eastAsia="Times New Roman" w:hAnsi="Times New Roman" w:cs="Times New Roman"/>
                <w:b/>
                <w:bCs/>
                <w:color w:val="000000"/>
                <w:sz w:val="18"/>
                <w:szCs w:val="18"/>
                <w:lang w:eastAsia="en-GB"/>
              </w:rPr>
            </w:pPr>
            <w:r w:rsidRPr="00B10A16">
              <w:rPr>
                <w:rFonts w:ascii="Times New Roman" w:eastAsia="Times New Roman" w:hAnsi="Times New Roman" w:cs="Times New Roman"/>
                <w:b/>
                <w:bCs/>
                <w:color w:val="000000"/>
                <w:sz w:val="18"/>
                <w:szCs w:val="18"/>
                <w:lang w:eastAsia="en-GB"/>
              </w:rPr>
              <w:t>Labour underutil</w:t>
            </w:r>
            <w:r w:rsidR="00A44F15">
              <w:rPr>
                <w:rFonts w:ascii="Times New Roman" w:eastAsia="Times New Roman" w:hAnsi="Times New Roman" w:cs="Times New Roman"/>
                <w:b/>
                <w:bCs/>
                <w:color w:val="000000"/>
                <w:sz w:val="18"/>
                <w:szCs w:val="18"/>
                <w:lang w:eastAsia="en-GB"/>
              </w:rPr>
              <w:t>i</w:t>
            </w:r>
            <w:bookmarkStart w:id="0" w:name="_GoBack"/>
            <w:bookmarkEnd w:id="0"/>
            <w:r w:rsidRPr="00B10A16">
              <w:rPr>
                <w:rFonts w:ascii="Times New Roman" w:eastAsia="Times New Roman" w:hAnsi="Times New Roman" w:cs="Times New Roman"/>
                <w:b/>
                <w:bCs/>
                <w:color w:val="000000"/>
                <w:sz w:val="18"/>
                <w:szCs w:val="18"/>
                <w:lang w:eastAsia="en-GB"/>
              </w:rPr>
              <w:t>sation rates</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 </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 </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 </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LU1 = Unemployment</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4.1</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6.8</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3.1</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LU2 = TRU + Unemployment</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7.4</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10.8</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6.1</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LU3 = Unemployment + PLF</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6.2</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13.1</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3.4</w:t>
            </w:r>
          </w:p>
        </w:tc>
      </w:tr>
      <w:tr w:rsidR="00B10A16" w:rsidRPr="00B10A16" w:rsidTr="005F4DA9">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ind w:firstLineChars="100" w:firstLine="180"/>
              <w:rPr>
                <w:rFonts w:ascii="Times New Roman" w:eastAsia="Times New Roman" w:hAnsi="Times New Roman" w:cs="Times New Roman"/>
                <w:color w:val="000000"/>
                <w:sz w:val="18"/>
                <w:szCs w:val="18"/>
                <w:lang w:eastAsia="en-GB"/>
              </w:rPr>
            </w:pPr>
            <w:r w:rsidRPr="00B10A16">
              <w:rPr>
                <w:rFonts w:ascii="Times New Roman" w:eastAsia="Times New Roman" w:hAnsi="Times New Roman" w:cs="Times New Roman"/>
                <w:color w:val="000000"/>
                <w:sz w:val="18"/>
                <w:szCs w:val="18"/>
                <w:lang w:eastAsia="en-GB"/>
              </w:rPr>
              <w:t xml:space="preserve">LU4 = TRU + U + PLF </w:t>
            </w:r>
          </w:p>
        </w:tc>
        <w:tc>
          <w:tcPr>
            <w:tcW w:w="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9.4</w:t>
            </w:r>
          </w:p>
        </w:tc>
        <w:tc>
          <w:tcPr>
            <w:tcW w:w="2123"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16.8</w:t>
            </w:r>
          </w:p>
        </w:tc>
        <w:tc>
          <w:tcPr>
            <w:tcW w:w="1682" w:type="dxa"/>
            <w:tcBorders>
              <w:top w:val="nil"/>
              <w:left w:val="nil"/>
              <w:bottom w:val="single" w:sz="4" w:space="0" w:color="auto"/>
              <w:right w:val="single" w:sz="4" w:space="0" w:color="auto"/>
            </w:tcBorders>
            <w:shd w:val="clear" w:color="auto" w:fill="auto"/>
            <w:noWrap/>
            <w:vAlign w:val="bottom"/>
            <w:hideMark/>
          </w:tcPr>
          <w:p w:rsidR="00B10A16" w:rsidRPr="00B10A16" w:rsidRDefault="00B10A16" w:rsidP="00B10A16">
            <w:pPr>
              <w:spacing w:after="0" w:line="240" w:lineRule="auto"/>
              <w:jc w:val="right"/>
              <w:rPr>
                <w:rFonts w:ascii="Times New Roman" w:eastAsia="Times New Roman" w:hAnsi="Times New Roman" w:cs="Times New Roman"/>
                <w:color w:val="000000"/>
                <w:lang w:eastAsia="en-GB"/>
              </w:rPr>
            </w:pPr>
            <w:r w:rsidRPr="00B10A16">
              <w:rPr>
                <w:rFonts w:ascii="Times New Roman" w:eastAsia="Times New Roman" w:hAnsi="Times New Roman" w:cs="Times New Roman"/>
                <w:color w:val="000000"/>
                <w:lang w:eastAsia="en-GB"/>
              </w:rPr>
              <w:t>6.4</w:t>
            </w:r>
          </w:p>
        </w:tc>
      </w:tr>
    </w:tbl>
    <w:p w:rsidR="00897F20" w:rsidRDefault="00897F20" w:rsidP="00897F20">
      <w:pPr>
        <w:jc w:val="both"/>
      </w:pPr>
    </w:p>
    <w:p w:rsidR="00245FB5" w:rsidRPr="00913C4D" w:rsidRDefault="00245FB5" w:rsidP="00897F20">
      <w:pPr>
        <w:jc w:val="both"/>
      </w:pPr>
    </w:p>
    <w:p w:rsidR="00FD0B4E" w:rsidRPr="005772BD" w:rsidRDefault="00FD0B4E" w:rsidP="005F4DA9">
      <w:pPr>
        <w:pStyle w:val="a7"/>
        <w:numPr>
          <w:ilvl w:val="0"/>
          <w:numId w:val="5"/>
        </w:numPr>
        <w:jc w:val="both"/>
        <w:rPr>
          <w:b/>
          <w:sz w:val="28"/>
        </w:rPr>
      </w:pPr>
      <w:r>
        <w:rPr>
          <w:b/>
          <w:sz w:val="28"/>
        </w:rPr>
        <w:t>Conclusions</w:t>
      </w:r>
      <w:r w:rsidRPr="005772BD">
        <w:rPr>
          <w:b/>
          <w:sz w:val="28"/>
        </w:rPr>
        <w:t>:</w:t>
      </w:r>
    </w:p>
    <w:p w:rsidR="006158AB" w:rsidRDefault="00FD0B4E" w:rsidP="005F4DA9">
      <w:pPr>
        <w:jc w:val="both"/>
      </w:pPr>
      <w:r>
        <w:t xml:space="preserve">Since 2018 substantial updates have been made to the LFS of Moldova and the related statistical series. </w:t>
      </w:r>
      <w:r w:rsidR="00B1133A">
        <w:t>This has</w:t>
      </w:r>
      <w:r>
        <w:t xml:space="preserve"> created some breaks in series that this note has attempted to explain. </w:t>
      </w:r>
    </w:p>
    <w:p w:rsidR="00FD0B4E" w:rsidRDefault="00FD0B4E" w:rsidP="005F4DA9">
      <w:pPr>
        <w:jc w:val="both"/>
      </w:pPr>
      <w:r>
        <w:t xml:space="preserve">The purpose of the changes has been to introduce updates to methodology and reference concepts aimed at generating more comprehensive and targeted statistics, reflecting latest international standards, practices and information about the population in Moldova. </w:t>
      </w:r>
      <w:r w:rsidR="00DF7AFD">
        <w:t>The analysis in this note has focussed on a small but key set of the full set of labour market indicators.</w:t>
      </w:r>
    </w:p>
    <w:p w:rsidR="00DF7AFD" w:rsidRDefault="00DF7AFD" w:rsidP="005F4DA9">
      <w:pPr>
        <w:jc w:val="both"/>
      </w:pPr>
      <w:r>
        <w:t>Among the key points to remember are:</w:t>
      </w:r>
    </w:p>
    <w:p w:rsidR="00DF7AFD" w:rsidRDefault="00DF7AFD" w:rsidP="005F4DA9">
      <w:pPr>
        <w:pStyle w:val="a7"/>
        <w:numPr>
          <w:ilvl w:val="0"/>
          <w:numId w:val="19"/>
        </w:numPr>
        <w:jc w:val="both"/>
      </w:pPr>
      <w:r>
        <w:t>The latest international statistical standards, which have now been implemented, more closely align key labour market definitions with user needs, reflecting much international experience and discussion. In addition, a much richer set of data can now be generated on the different types of work people in Moldova do, how they interact with the labour market, and how these things vary for different groups of people. This change has had important impacts on existing statistical series such as those on employment and unemployment.</w:t>
      </w:r>
    </w:p>
    <w:p w:rsidR="00DF7AFD" w:rsidRDefault="00DF7AFD" w:rsidP="005F4DA9">
      <w:pPr>
        <w:pStyle w:val="a7"/>
        <w:numPr>
          <w:ilvl w:val="0"/>
          <w:numId w:val="19"/>
        </w:numPr>
        <w:jc w:val="both"/>
      </w:pPr>
      <w:r>
        <w:t>The latest information on the population has now been integrated ensuring labour market statistics are as up to date as possible with respect to population structure and residential location.</w:t>
      </w:r>
    </w:p>
    <w:p w:rsidR="00FD0B4E" w:rsidRDefault="00FD0B4E" w:rsidP="005F4DA9">
      <w:pPr>
        <w:jc w:val="both"/>
      </w:pPr>
    </w:p>
    <w:p w:rsidR="00FD0B4E" w:rsidRDefault="00FD0B4E" w:rsidP="005F4DA9">
      <w:pPr>
        <w:jc w:val="both"/>
      </w:pPr>
    </w:p>
    <w:p w:rsidR="00FD0B4E" w:rsidRDefault="00FD0B4E" w:rsidP="005F4DA9">
      <w:pPr>
        <w:jc w:val="both"/>
      </w:pPr>
    </w:p>
    <w:p w:rsidR="00FD0B4E" w:rsidRDefault="00FD0B4E" w:rsidP="005F4DA9">
      <w:pPr>
        <w:jc w:val="both"/>
      </w:pPr>
    </w:p>
    <w:p w:rsidR="00FD0B4E" w:rsidRDefault="00FD0B4E" w:rsidP="005F4DA9">
      <w:pPr>
        <w:jc w:val="both"/>
      </w:pPr>
    </w:p>
    <w:p w:rsidR="001E0AF5" w:rsidRPr="00CF7FBF" w:rsidRDefault="001E0AF5" w:rsidP="001E0AF5">
      <w:pPr>
        <w:jc w:val="center"/>
        <w:rPr>
          <w:b/>
          <w:sz w:val="24"/>
        </w:rPr>
      </w:pPr>
      <w:r w:rsidRPr="00CF7FBF">
        <w:rPr>
          <w:b/>
          <w:sz w:val="24"/>
        </w:rPr>
        <w:lastRenderedPageBreak/>
        <w:t>Annex: Description of methodological changes made to NLFS in 2018 and 2019</w:t>
      </w:r>
    </w:p>
    <w:p w:rsidR="001E0AF5" w:rsidRDefault="001E0AF5" w:rsidP="001E0AF5">
      <w:pPr>
        <w:pStyle w:val="a7"/>
        <w:numPr>
          <w:ilvl w:val="0"/>
          <w:numId w:val="2"/>
        </w:numPr>
        <w:jc w:val="both"/>
        <w:rPr>
          <w:b/>
        </w:rPr>
      </w:pPr>
      <w:r w:rsidRPr="00820478">
        <w:rPr>
          <w:b/>
        </w:rPr>
        <w:t>Introduction of updated statistical standards</w:t>
      </w:r>
    </w:p>
    <w:p w:rsidR="001E0AF5" w:rsidRDefault="001E0AF5" w:rsidP="001E0AF5">
      <w:pPr>
        <w:jc w:val="both"/>
      </w:pPr>
      <w:r>
        <w:t>Those publishing labour statistics in different countries often refer to the ‘ILO (International Labour Organization) standards’ as the basis of the definitions of employment and unemployment used. The term ‘ILO standards’ refers to standards which are adopted at the I</w:t>
      </w:r>
      <w:r w:rsidR="00897F20">
        <w:t xml:space="preserve">nternational </w:t>
      </w:r>
      <w:r>
        <w:t>C</w:t>
      </w:r>
      <w:r w:rsidR="00897F20">
        <w:t xml:space="preserve">onference of </w:t>
      </w:r>
      <w:r>
        <w:t>L</w:t>
      </w:r>
      <w:r w:rsidR="00897F20">
        <w:t xml:space="preserve">abour </w:t>
      </w:r>
      <w:r>
        <w:t>S</w:t>
      </w:r>
      <w:r w:rsidR="00897F20">
        <w:t>tatisticians (ICLS)</w:t>
      </w:r>
      <w:r>
        <w:t>. The ILO hosts the ICLS once every 5 years and many topics have been covered over time</w:t>
      </w:r>
      <w:r>
        <w:rPr>
          <w:rStyle w:val="a5"/>
        </w:rPr>
        <w:footnoteReference w:id="4"/>
      </w:r>
      <w:r>
        <w:t xml:space="preserve">. Possibly the most </w:t>
      </w:r>
      <w:r w:rsidR="00897F20">
        <w:t>visible and widely applied</w:t>
      </w:r>
      <w:r>
        <w:t xml:space="preserve"> standards are those that set the statistical definitions for employment and unemployment. The standards widely used</w:t>
      </w:r>
      <w:r w:rsidR="00897F20">
        <w:t xml:space="preserve"> in recent decades</w:t>
      </w:r>
      <w:r>
        <w:t xml:space="preserve"> for this purpose were adopted in 1982 at the 13</w:t>
      </w:r>
      <w:r w:rsidRPr="00972D35">
        <w:rPr>
          <w:vertAlign w:val="superscript"/>
        </w:rPr>
        <w:t>th</w:t>
      </w:r>
      <w:r>
        <w:t xml:space="preserve"> ICLS. </w:t>
      </w:r>
    </w:p>
    <w:p w:rsidR="001E0AF5" w:rsidRDefault="001E0AF5" w:rsidP="001E0AF5">
      <w:pPr>
        <w:jc w:val="both"/>
      </w:pPr>
      <w:r>
        <w:t>Since 1982 the range of labour market statistics available in countries have expanded massively and the definitions agreed in 1982 have come into very wide use. While they have been very useful, demands increased over time to review the 1982 standards to provide a wider range of work statistics more closely aligned to user needs. In response to this demand, the 18</w:t>
      </w:r>
      <w:r w:rsidRPr="00F7779D">
        <w:rPr>
          <w:vertAlign w:val="superscript"/>
        </w:rPr>
        <w:t>th</w:t>
      </w:r>
      <w:r>
        <w:t xml:space="preserve"> ICLS in 2008 requested a review of the 13</w:t>
      </w:r>
      <w:r w:rsidRPr="00F7779D">
        <w:rPr>
          <w:vertAlign w:val="superscript"/>
        </w:rPr>
        <w:t>th</w:t>
      </w:r>
      <w:r>
        <w:t xml:space="preserve"> ICLS standards. This review took place through a major development and consultation process</w:t>
      </w:r>
      <w:r w:rsidR="00897F20">
        <w:t>,</w:t>
      </w:r>
      <w:r>
        <w:t xml:space="preserve"> and new standards were adopted at the 19</w:t>
      </w:r>
      <w:r w:rsidRPr="00F7779D">
        <w:rPr>
          <w:vertAlign w:val="superscript"/>
        </w:rPr>
        <w:t>th</w:t>
      </w:r>
      <w:r>
        <w:t xml:space="preserve"> ICLS in 2013.</w:t>
      </w:r>
    </w:p>
    <w:p w:rsidR="001E0AF5" w:rsidRDefault="001E0AF5" w:rsidP="001E0AF5">
      <w:pPr>
        <w:jc w:val="both"/>
      </w:pPr>
      <w:r>
        <w:t>Specifically, the key changes were:</w:t>
      </w:r>
    </w:p>
    <w:p w:rsidR="001E0AF5" w:rsidRDefault="001E0AF5" w:rsidP="001E0AF5">
      <w:pPr>
        <w:pStyle w:val="a7"/>
        <w:numPr>
          <w:ilvl w:val="0"/>
          <w:numId w:val="3"/>
        </w:numPr>
        <w:jc w:val="both"/>
      </w:pPr>
      <w:r>
        <w:t>A new ‘forms of work’ framework has been established which identifies different types of work that people do depending on what is produced from the work and who the beneficiary is. Within this framework employment is one form of work (work for pay or profit).</w:t>
      </w:r>
      <w:r w:rsidR="00897F20">
        <w:t xml:space="preserve"> There is also a recognition that people can be engaged in multiple forms of work in the same period of time, something not possible under the old framework that assigned only one labour market status to each individual (employed, unemployed or not economically active). Among other things this enables total work burden to be measured and gives prominence to the unpaid work people do.</w:t>
      </w:r>
    </w:p>
    <w:p w:rsidR="001E0AF5" w:rsidRDefault="001E0AF5" w:rsidP="001E0AF5">
      <w:pPr>
        <w:pStyle w:val="a7"/>
        <w:numPr>
          <w:ilvl w:val="0"/>
          <w:numId w:val="3"/>
        </w:numPr>
        <w:jc w:val="both"/>
      </w:pPr>
      <w:r>
        <w:t>The new definition of employment is narrower than before. In particular, under the 1982 standards, people who were producing foodstuff for their own household consumption were identified as employed. Under the new standards, these people are not identified as employed unless what they produce is mainly intended to be sold. Those producing goods mainly for the household’s consumption are now identified as doin</w:t>
      </w:r>
      <w:r w:rsidR="00897F20">
        <w:t>g ‘own-use production of goods’, and it is recommended that statistics on this group are also published, particularly where the size of the group is significant, as in Moldova.</w:t>
      </w:r>
    </w:p>
    <w:p w:rsidR="001E0AF5" w:rsidRDefault="001E0AF5" w:rsidP="001E0AF5">
      <w:pPr>
        <w:pStyle w:val="a7"/>
        <w:numPr>
          <w:ilvl w:val="0"/>
          <w:numId w:val="3"/>
        </w:numPr>
        <w:jc w:val="both"/>
      </w:pPr>
      <w:r>
        <w:t>The unemployment definition did not substantially change, but additional indicators of labour underutilization have been defined to provide a more comprehensive picture of people with an unmet need for employment.</w:t>
      </w:r>
    </w:p>
    <w:p w:rsidR="001E0AF5" w:rsidRDefault="001E0AF5" w:rsidP="001E0AF5">
      <w:pPr>
        <w:jc w:val="both"/>
      </w:pPr>
      <w:r>
        <w:t xml:space="preserve">The impact of these changes is heavily dependent on the economic context of the country and existing practices. In a country where ‘own-use production of </w:t>
      </w:r>
      <w:r w:rsidR="006C5A64">
        <w:t>foodstuff</w:t>
      </w:r>
      <w:r>
        <w:t xml:space="preserve">’ is common, and it was being measured as employment, then the introduction of the new </w:t>
      </w:r>
      <w:r w:rsidR="00897F20">
        <w:t xml:space="preserve">statistical </w:t>
      </w:r>
      <w:r>
        <w:t xml:space="preserve">standards would be expected to lead to a lower estimate of employment. A second consequence would be that the number of people unemployed would be expected to be higher, because some of those doing own-use production of goods would be looking and available for work, thus unemployed. However, the impact of introduction of the new standards should not only be seen in terms of changes to existing indicators. The new standards enable additional indicators to be published, providing a more detailed range of information on labour market engagement and work. </w:t>
      </w:r>
    </w:p>
    <w:p w:rsidR="006C5A64" w:rsidRDefault="006C5A64" w:rsidP="001E0AF5">
      <w:pPr>
        <w:jc w:val="both"/>
      </w:pPr>
      <w:r w:rsidRPr="001A0CB5">
        <w:lastRenderedPageBreak/>
        <w:t>In the case of Moldova ‘own-use production of foodstuff’ is a common activity (</w:t>
      </w:r>
      <w:r w:rsidRPr="005F4DA9">
        <w:t xml:space="preserve">on average </w:t>
      </w:r>
      <w:r w:rsidRPr="001A0CB5">
        <w:t xml:space="preserve">40% of the working age population </w:t>
      </w:r>
      <w:r w:rsidRPr="005F4DA9">
        <w:t>were doing</w:t>
      </w:r>
      <w:r w:rsidRPr="001A0CB5">
        <w:t xml:space="preserve"> this type of work</w:t>
      </w:r>
      <w:r w:rsidRPr="005F4DA9">
        <w:t xml:space="preserve"> in 2018</w:t>
      </w:r>
      <w:r w:rsidRPr="001A0CB5">
        <w:t>, as highlighted in the report). Under previous practices these people were counted as employed if they did this work for more than 20 hours in the week. Under the new standards this group would be removed from employment and included in a separate indicator of own-use production of foodstuff (also referred to as subsistence foodstuff producers). As some of these people can be looking and available for work it is also expected that estimates of unemployment would increase as a result of the introduction of the new standards, as demonstrated in the report.</w:t>
      </w:r>
    </w:p>
    <w:p w:rsidR="001E0AF5" w:rsidRDefault="001E0AF5" w:rsidP="001E0AF5">
      <w:pPr>
        <w:jc w:val="both"/>
      </w:pPr>
      <w:r>
        <w:t>Introducing the new standards through a LFS require</w:t>
      </w:r>
      <w:r w:rsidR="006C5A64">
        <w:t>d</w:t>
      </w:r>
      <w:r>
        <w:t xml:space="preserve"> the questionnaire to be updated. NBS of Moldova did this review and made the necessary changes in the questionnaire from the 1</w:t>
      </w:r>
      <w:r w:rsidRPr="00FB5F38">
        <w:rPr>
          <w:vertAlign w:val="superscript"/>
        </w:rPr>
        <w:t>st</w:t>
      </w:r>
      <w:r>
        <w:t xml:space="preserve"> quarter of 2018 onwards. </w:t>
      </w:r>
      <w:r w:rsidR="00897F20">
        <w:t>T</w:t>
      </w:r>
      <w:r>
        <w:t>he questionnaire was updated to allow some estimates to be continue to be made which were conceptually consistent with the 1982 (old) standards. This is an important feature of the new standards</w:t>
      </w:r>
      <w:r w:rsidR="00897F20">
        <w:t>,</w:t>
      </w:r>
      <w:r>
        <w:t xml:space="preserve"> which is not always the case</w:t>
      </w:r>
      <w:r w:rsidR="00897F20">
        <w:t xml:space="preserve"> when statistical standards are updated</w:t>
      </w:r>
      <w:r>
        <w:t xml:space="preserve">. The benefit is that there is we can compare the estimates for the old and new standards from Q1 2018 onwards and illustrate the impact, as shown in </w:t>
      </w:r>
      <w:r w:rsidRPr="00897F20">
        <w:t xml:space="preserve">section </w:t>
      </w:r>
      <w:r w:rsidR="00897F20" w:rsidRPr="00897F20">
        <w:t>2</w:t>
      </w:r>
      <w:r w:rsidR="00CF7FBF">
        <w:t>.1</w:t>
      </w:r>
      <w:r w:rsidR="00897F20">
        <w:t xml:space="preserve"> of the report</w:t>
      </w:r>
      <w:r>
        <w:t>.</w:t>
      </w:r>
    </w:p>
    <w:p w:rsidR="001E0AF5" w:rsidRDefault="001E0AF5" w:rsidP="001E0AF5">
      <w:pPr>
        <w:jc w:val="both"/>
        <w:rPr>
          <w:b/>
          <w:i/>
        </w:rPr>
      </w:pPr>
      <w:r>
        <w:rPr>
          <w:b/>
          <w:i/>
        </w:rPr>
        <w:t>Summary:</w:t>
      </w:r>
    </w:p>
    <w:p w:rsidR="001E0AF5" w:rsidRDefault="001E0AF5" w:rsidP="001E0AF5">
      <w:pPr>
        <w:jc w:val="both"/>
      </w:pPr>
      <w:r>
        <w:t xml:space="preserve">The new standards include a definition of </w:t>
      </w:r>
      <w:r w:rsidR="00245FB5">
        <w:t>employment that</w:t>
      </w:r>
      <w:r>
        <w:t xml:space="preserve"> is narrower than the previous standards. This is expected to lead to a lower estimate of employment and a higher estimate of unemployment. It also proposes more detailed information to be published including participation in own-use production of goods and additional indicators of labour underutilization to give a more complete picture of work and labour underutilization. </w:t>
      </w:r>
    </w:p>
    <w:p w:rsidR="00CF7FBF" w:rsidRDefault="00CF7FBF" w:rsidP="001E0AF5">
      <w:pPr>
        <w:jc w:val="both"/>
      </w:pPr>
    </w:p>
    <w:p w:rsidR="001E0AF5" w:rsidRDefault="001E0AF5" w:rsidP="001E0AF5">
      <w:pPr>
        <w:pStyle w:val="a7"/>
        <w:numPr>
          <w:ilvl w:val="0"/>
          <w:numId w:val="2"/>
        </w:numPr>
        <w:jc w:val="both"/>
        <w:rPr>
          <w:b/>
        </w:rPr>
      </w:pPr>
      <w:r>
        <w:rPr>
          <w:b/>
        </w:rPr>
        <w:t>Population estimate revisions and changes in the reference population</w:t>
      </w:r>
    </w:p>
    <w:p w:rsidR="001E0AF5" w:rsidRPr="001439A0" w:rsidRDefault="001E0AF5" w:rsidP="001E0AF5">
      <w:pPr>
        <w:jc w:val="both"/>
      </w:pPr>
      <w:r w:rsidRPr="001439A0">
        <w:t>Estimates of the population are used to calculate weights for the NLFS data each quarter. When the results of a Census of Population become available it is a normal practice to use the updated information to revise population estimates, and as a result also the labour market estimates. NBS has created new population estimates using the data from the 2014 Census of Population and applied them to the NLFS estimates from Q1 201</w:t>
      </w:r>
      <w:r w:rsidR="001439A0">
        <w:t>9 onwards, as well as recalculating estimates for 2018 to allow comparisons.</w:t>
      </w:r>
    </w:p>
    <w:p w:rsidR="001E0AF5" w:rsidRPr="001439A0" w:rsidRDefault="001E0AF5" w:rsidP="001E0AF5">
      <w:pPr>
        <w:jc w:val="both"/>
      </w:pPr>
      <w:r w:rsidRPr="001439A0">
        <w:t>At the same time NBS has applied an updated population concept. Up to 201</w:t>
      </w:r>
      <w:r w:rsidR="00741D79" w:rsidRPr="001439A0">
        <w:t>9</w:t>
      </w:r>
      <w:r w:rsidRPr="001439A0">
        <w:t xml:space="preserve"> the population was based on the ‘stable’ population incorporating all persons who were identified as having a permanent residence in Moldova. From 201</w:t>
      </w:r>
      <w:r w:rsidR="00741D79" w:rsidRPr="001439A0">
        <w:t>9</w:t>
      </w:r>
      <w:r w:rsidRPr="001439A0">
        <w:t xml:space="preserve"> onwards we are now applying the ‘usually resident population’ which is a concept widely used internationally for population and social statistics. This means that only persons who have an expected duration of residence in Moldova of at least </w:t>
      </w:r>
      <w:r w:rsidR="001439A0" w:rsidRPr="001439A0">
        <w:t>9</w:t>
      </w:r>
      <w:r w:rsidRPr="001439A0">
        <w:t xml:space="preserve"> months are considered part of the population. The main impact of this is to reduce the population as the ‘usually resident population’ excludes people who are resident outside Moldova for periods of at least </w:t>
      </w:r>
      <w:r w:rsidR="001439A0" w:rsidRPr="001439A0">
        <w:t xml:space="preserve">9 </w:t>
      </w:r>
      <w:r w:rsidRPr="001439A0">
        <w:t xml:space="preserve">months, for example those working and living in neighbouring countries. Some of these people retain a permanent residence in Moldova and were included in the old ‘stable’ reference population. </w:t>
      </w:r>
    </w:p>
    <w:p w:rsidR="001E0AF5" w:rsidRDefault="001E0AF5" w:rsidP="001E0AF5">
      <w:pPr>
        <w:jc w:val="both"/>
      </w:pPr>
      <w:r w:rsidRPr="001439A0">
        <w:t>The NBS has completed an exercise to calculate the ‘new’ population from Q1 2018 onwards. The ‘old’ population is also available up to Q4 2018 meaning the results can be directly compared for 2018.</w:t>
      </w:r>
      <w:r w:rsidR="006B43AF" w:rsidRPr="001439A0">
        <w:t xml:space="preserve"> The impact for different population subgroups is shown in table A1 below.</w:t>
      </w:r>
    </w:p>
    <w:p w:rsidR="00245FB5" w:rsidRDefault="00245FB5" w:rsidP="001E0AF5">
      <w:pPr>
        <w:jc w:val="both"/>
      </w:pPr>
    </w:p>
    <w:p w:rsidR="006B43AF" w:rsidRPr="006B43AF" w:rsidRDefault="006B43AF" w:rsidP="001E0AF5">
      <w:pPr>
        <w:jc w:val="both"/>
        <w:rPr>
          <w:b/>
        </w:rPr>
      </w:pPr>
      <w:r>
        <w:rPr>
          <w:b/>
        </w:rPr>
        <w:lastRenderedPageBreak/>
        <w:t>Table A1 – Impact of change in population definition and estimates on population subgroups, 2018</w:t>
      </w:r>
    </w:p>
    <w:tbl>
      <w:tblPr>
        <w:tblW w:w="5000" w:type="pct"/>
        <w:tblLook w:val="04A0"/>
      </w:tblPr>
      <w:tblGrid>
        <w:gridCol w:w="1970"/>
        <w:gridCol w:w="1874"/>
        <w:gridCol w:w="2667"/>
        <w:gridCol w:w="1489"/>
        <w:gridCol w:w="1242"/>
      </w:tblGrid>
      <w:tr w:rsidR="009C705A" w:rsidRPr="009C705A" w:rsidTr="009C705A">
        <w:trPr>
          <w:trHeight w:val="300"/>
        </w:trPr>
        <w:tc>
          <w:tcPr>
            <w:tcW w:w="101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 </w:t>
            </w:r>
          </w:p>
        </w:tc>
        <w:tc>
          <w:tcPr>
            <w:tcW w:w="2655" w:type="pct"/>
            <w:gridSpan w:val="2"/>
            <w:tcBorders>
              <w:top w:val="single" w:sz="4" w:space="0" w:color="auto"/>
              <w:left w:val="nil"/>
              <w:bottom w:val="single" w:sz="4" w:space="0" w:color="auto"/>
              <w:right w:val="single" w:sz="4" w:space="0" w:color="auto"/>
            </w:tcBorders>
            <w:shd w:val="clear" w:color="000000" w:fill="D9D9D9"/>
            <w:noWrap/>
            <w:vAlign w:val="bottom"/>
            <w:hideMark/>
          </w:tcPr>
          <w:p w:rsidR="009C705A" w:rsidRPr="009C705A" w:rsidRDefault="009C705A" w:rsidP="009C705A">
            <w:pPr>
              <w:spacing w:after="0" w:line="240" w:lineRule="auto"/>
              <w:jc w:val="center"/>
              <w:rPr>
                <w:rFonts w:ascii="Calibri" w:eastAsia="Times New Roman" w:hAnsi="Calibri" w:cs="Calibri"/>
                <w:b/>
                <w:bCs/>
                <w:color w:val="000000"/>
                <w:lang w:eastAsia="en-GB"/>
              </w:rPr>
            </w:pPr>
            <w:r w:rsidRPr="009C705A">
              <w:rPr>
                <w:rFonts w:ascii="Calibri" w:eastAsia="Times New Roman" w:hAnsi="Calibri" w:cs="Calibri"/>
                <w:b/>
                <w:bCs/>
                <w:color w:val="000000"/>
                <w:lang w:eastAsia="en-GB"/>
              </w:rPr>
              <w:t>2018 average</w:t>
            </w:r>
          </w:p>
        </w:tc>
        <w:tc>
          <w:tcPr>
            <w:tcW w:w="725" w:type="pct"/>
            <w:tcBorders>
              <w:top w:val="single" w:sz="4" w:space="0" w:color="auto"/>
              <w:left w:val="nil"/>
              <w:bottom w:val="single" w:sz="4" w:space="0" w:color="auto"/>
              <w:right w:val="single" w:sz="4" w:space="0" w:color="auto"/>
            </w:tcBorders>
            <w:shd w:val="clear" w:color="000000" w:fill="D9D9D9"/>
            <w:noWrap/>
            <w:vAlign w:val="bottom"/>
            <w:hideMark/>
          </w:tcPr>
          <w:p w:rsidR="009C705A" w:rsidRPr="009C705A" w:rsidRDefault="009C705A" w:rsidP="009C705A">
            <w:pPr>
              <w:spacing w:after="0" w:line="240" w:lineRule="auto"/>
              <w:jc w:val="center"/>
              <w:rPr>
                <w:rFonts w:ascii="Calibri" w:eastAsia="Times New Roman" w:hAnsi="Calibri" w:cs="Calibri"/>
                <w:b/>
                <w:bCs/>
                <w:color w:val="000000"/>
                <w:lang w:eastAsia="en-GB"/>
              </w:rPr>
            </w:pPr>
            <w:r w:rsidRPr="009C705A">
              <w:rPr>
                <w:rFonts w:ascii="Calibri" w:eastAsia="Times New Roman" w:hAnsi="Calibri" w:cs="Calibri"/>
                <w:b/>
                <w:bCs/>
                <w:color w:val="000000"/>
                <w:lang w:eastAsia="en-GB"/>
              </w:rPr>
              <w:t> </w:t>
            </w:r>
          </w:p>
        </w:tc>
        <w:tc>
          <w:tcPr>
            <w:tcW w:w="603" w:type="pct"/>
            <w:tcBorders>
              <w:top w:val="single" w:sz="4" w:space="0" w:color="auto"/>
              <w:left w:val="nil"/>
              <w:bottom w:val="single" w:sz="4" w:space="0" w:color="auto"/>
              <w:right w:val="single" w:sz="4" w:space="0" w:color="auto"/>
            </w:tcBorders>
            <w:shd w:val="clear" w:color="000000" w:fill="D9D9D9"/>
            <w:noWrap/>
            <w:vAlign w:val="bottom"/>
            <w:hideMark/>
          </w:tcPr>
          <w:p w:rsidR="009C705A" w:rsidRPr="009C705A" w:rsidRDefault="009C705A" w:rsidP="009C705A">
            <w:pPr>
              <w:spacing w:after="0" w:line="240" w:lineRule="auto"/>
              <w:rPr>
                <w:rFonts w:ascii="Calibri" w:eastAsia="Times New Roman" w:hAnsi="Calibri" w:cs="Calibri"/>
                <w:b/>
                <w:bCs/>
                <w:color w:val="000000"/>
                <w:lang w:eastAsia="en-GB"/>
              </w:rPr>
            </w:pPr>
            <w:r w:rsidRPr="009C705A">
              <w:rPr>
                <w:rFonts w:ascii="Calibri" w:eastAsia="Times New Roman" w:hAnsi="Calibri" w:cs="Calibri"/>
                <w:b/>
                <w:bCs/>
                <w:color w:val="000000"/>
                <w:lang w:eastAsia="en-GB"/>
              </w:rPr>
              <w:t> </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000000" w:fill="D9D9D9"/>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 </w:t>
            </w:r>
          </w:p>
        </w:tc>
        <w:tc>
          <w:tcPr>
            <w:tcW w:w="1303" w:type="pct"/>
            <w:tcBorders>
              <w:top w:val="nil"/>
              <w:left w:val="nil"/>
              <w:bottom w:val="single" w:sz="4" w:space="0" w:color="auto"/>
              <w:right w:val="single" w:sz="4" w:space="0" w:color="auto"/>
            </w:tcBorders>
            <w:shd w:val="clear" w:color="auto" w:fill="auto"/>
            <w:noWrap/>
            <w:vAlign w:val="center"/>
            <w:hideMark/>
          </w:tcPr>
          <w:p w:rsidR="009C705A" w:rsidRPr="009C705A" w:rsidRDefault="009C705A" w:rsidP="009C705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Stable population (old)</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Usually resident population (new)</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b/>
                <w:bCs/>
                <w:color w:val="000000"/>
                <w:lang w:eastAsia="en-GB"/>
              </w:rPr>
            </w:pPr>
            <w:r w:rsidRPr="009C705A">
              <w:rPr>
                <w:rFonts w:ascii="Calibri" w:eastAsia="Times New Roman" w:hAnsi="Calibri" w:cs="Calibri"/>
                <w:b/>
                <w:bCs/>
                <w:color w:val="000000"/>
                <w:lang w:eastAsia="en-GB"/>
              </w:rPr>
              <w:t>Difference (000's)</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b/>
                <w:bCs/>
                <w:color w:val="000000"/>
                <w:lang w:eastAsia="en-GB"/>
              </w:rPr>
            </w:pPr>
            <w:r w:rsidRPr="009C705A">
              <w:rPr>
                <w:rFonts w:ascii="Calibri" w:eastAsia="Times New Roman" w:hAnsi="Calibri" w:cs="Calibri"/>
                <w:b/>
                <w:bCs/>
                <w:color w:val="000000"/>
                <w:lang w:eastAsia="en-GB"/>
              </w:rPr>
              <w:t>Difference (%)</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000000" w:fill="F2F2F2"/>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 </w:t>
            </w:r>
          </w:p>
        </w:tc>
        <w:tc>
          <w:tcPr>
            <w:tcW w:w="3379" w:type="pct"/>
            <w:gridSpan w:val="3"/>
            <w:tcBorders>
              <w:top w:val="single" w:sz="4" w:space="0" w:color="auto"/>
              <w:left w:val="nil"/>
              <w:bottom w:val="single" w:sz="4" w:space="0" w:color="auto"/>
              <w:right w:val="single" w:sz="4" w:space="0" w:color="000000"/>
            </w:tcBorders>
            <w:shd w:val="clear" w:color="000000" w:fill="F2F2F2"/>
            <w:noWrap/>
            <w:vAlign w:val="center"/>
            <w:hideMark/>
          </w:tcPr>
          <w:p w:rsidR="009C705A" w:rsidRPr="009C705A" w:rsidRDefault="009C705A" w:rsidP="009C705A">
            <w:pPr>
              <w:spacing w:after="0" w:line="240" w:lineRule="auto"/>
              <w:jc w:val="center"/>
              <w:rPr>
                <w:rFonts w:ascii="Calibri" w:eastAsia="Times New Roman" w:hAnsi="Calibri" w:cs="Calibri"/>
                <w:color w:val="000000"/>
                <w:sz w:val="20"/>
                <w:szCs w:val="20"/>
                <w:lang w:eastAsia="en-GB"/>
              </w:rPr>
            </w:pPr>
            <w:r w:rsidRPr="009C705A">
              <w:rPr>
                <w:rFonts w:ascii="Calibri" w:eastAsia="Times New Roman" w:hAnsi="Calibri" w:cs="Calibri"/>
                <w:color w:val="000000"/>
                <w:sz w:val="20"/>
                <w:szCs w:val="20"/>
                <w:lang w:eastAsia="en-GB"/>
              </w:rPr>
              <w:t>Persons 000's</w:t>
            </w:r>
          </w:p>
        </w:tc>
        <w:tc>
          <w:tcPr>
            <w:tcW w:w="603" w:type="pct"/>
            <w:tcBorders>
              <w:top w:val="nil"/>
              <w:left w:val="nil"/>
              <w:bottom w:val="single" w:sz="4" w:space="0" w:color="auto"/>
              <w:right w:val="single" w:sz="4" w:space="0" w:color="auto"/>
            </w:tcBorders>
            <w:shd w:val="clear" w:color="000000" w:fill="F2F2F2"/>
            <w:noWrap/>
            <w:vAlign w:val="bottom"/>
            <w:hideMark/>
          </w:tcPr>
          <w:p w:rsidR="009C705A" w:rsidRPr="009C705A" w:rsidRDefault="009C705A" w:rsidP="009C705A">
            <w:pPr>
              <w:spacing w:after="0" w:line="240" w:lineRule="auto"/>
              <w:jc w:val="center"/>
              <w:rPr>
                <w:rFonts w:ascii="Calibri" w:eastAsia="Times New Roman" w:hAnsi="Calibri" w:cs="Calibri"/>
                <w:color w:val="000000"/>
                <w:sz w:val="20"/>
                <w:szCs w:val="20"/>
                <w:lang w:eastAsia="en-GB"/>
              </w:rPr>
            </w:pPr>
            <w:r w:rsidRPr="009C705A">
              <w:rPr>
                <w:rFonts w:ascii="Calibri" w:eastAsia="Times New Roman" w:hAnsi="Calibri" w:cs="Calibri"/>
                <w:color w:val="000000"/>
                <w:sz w:val="20"/>
                <w:szCs w:val="20"/>
                <w:lang w:eastAsia="en-GB"/>
              </w:rPr>
              <w:t>%</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b/>
                <w:bCs/>
                <w:i/>
                <w:iCs/>
                <w:color w:val="000000"/>
                <w:lang w:eastAsia="en-GB"/>
              </w:rPr>
            </w:pPr>
            <w:r w:rsidRPr="009C705A">
              <w:rPr>
                <w:rFonts w:ascii="Calibri" w:eastAsia="Times New Roman" w:hAnsi="Calibri" w:cs="Calibri"/>
                <w:b/>
                <w:bCs/>
                <w:i/>
                <w:iCs/>
                <w:color w:val="000000"/>
                <w:lang w:eastAsia="en-GB"/>
              </w:rPr>
              <w:t>Wokring age population</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2982.9</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2220.2</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-762.7</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-26</w:t>
            </w:r>
          </w:p>
        </w:tc>
      </w:tr>
      <w:tr w:rsidR="009C705A" w:rsidRPr="009C705A" w:rsidTr="009C705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C705A" w:rsidRPr="009C705A" w:rsidRDefault="009C705A" w:rsidP="009C705A">
            <w:pPr>
              <w:spacing w:after="0" w:line="240" w:lineRule="auto"/>
              <w:jc w:val="right"/>
              <w:rPr>
                <w:rFonts w:ascii="Calibri" w:eastAsia="Times New Roman" w:hAnsi="Calibri" w:cs="Calibri"/>
                <w:b/>
                <w:bCs/>
                <w:i/>
                <w:iCs/>
                <w:color w:val="000000"/>
                <w:lang w:eastAsia="en-GB"/>
              </w:rPr>
            </w:pPr>
            <w:r w:rsidRPr="009C705A">
              <w:rPr>
                <w:rFonts w:ascii="Calibri" w:eastAsia="Times New Roman" w:hAnsi="Calibri" w:cs="Calibri"/>
                <w:b/>
                <w:bCs/>
                <w:i/>
                <w:iCs/>
                <w:color w:val="000000"/>
                <w:lang w:eastAsia="en-GB"/>
              </w:rPr>
              <w:t>Sex</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Males</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1,406.8</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1,033.9</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-372.9</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-27</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Females</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1,576.1</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1,186.3</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-389.8</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-25</w:t>
            </w:r>
          </w:p>
        </w:tc>
      </w:tr>
      <w:tr w:rsidR="009C705A" w:rsidRPr="009C705A" w:rsidTr="009C705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C705A" w:rsidRPr="009C705A" w:rsidRDefault="009C705A" w:rsidP="009C705A">
            <w:pPr>
              <w:spacing w:after="0" w:line="240" w:lineRule="auto"/>
              <w:jc w:val="right"/>
              <w:rPr>
                <w:rFonts w:ascii="Calibri" w:eastAsia="Times New Roman" w:hAnsi="Calibri" w:cs="Calibri"/>
                <w:b/>
                <w:bCs/>
                <w:i/>
                <w:iCs/>
                <w:color w:val="000000"/>
                <w:lang w:eastAsia="en-GB"/>
              </w:rPr>
            </w:pPr>
            <w:r w:rsidRPr="009C705A">
              <w:rPr>
                <w:rFonts w:ascii="Calibri" w:eastAsia="Times New Roman" w:hAnsi="Calibri" w:cs="Calibri"/>
                <w:b/>
                <w:bCs/>
                <w:i/>
                <w:iCs/>
                <w:color w:val="000000"/>
                <w:lang w:eastAsia="en-GB"/>
              </w:rPr>
              <w:t>Age</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15-24 years</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441.2</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319.6</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-121.6</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-28</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25-54 years</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1655.1</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1146.6</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-508.5</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-31</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55-64 years</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474.4</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393.8</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-80.6</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-17</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65+</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412.2</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360.1</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-52.0</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-13</w:t>
            </w:r>
          </w:p>
        </w:tc>
      </w:tr>
      <w:tr w:rsidR="009C705A" w:rsidRPr="009C705A" w:rsidTr="009C705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C705A" w:rsidRPr="009C705A" w:rsidRDefault="009C705A" w:rsidP="009C705A">
            <w:pPr>
              <w:spacing w:after="0" w:line="240" w:lineRule="auto"/>
              <w:jc w:val="right"/>
              <w:rPr>
                <w:rFonts w:ascii="Calibri" w:eastAsia="Times New Roman" w:hAnsi="Calibri" w:cs="Calibri"/>
                <w:b/>
                <w:bCs/>
                <w:i/>
                <w:iCs/>
                <w:color w:val="000000"/>
                <w:lang w:eastAsia="en-GB"/>
              </w:rPr>
            </w:pPr>
            <w:r w:rsidRPr="009C705A">
              <w:rPr>
                <w:rFonts w:ascii="Calibri" w:eastAsia="Times New Roman" w:hAnsi="Calibri" w:cs="Calibri"/>
                <w:b/>
                <w:bCs/>
                <w:i/>
                <w:iCs/>
                <w:color w:val="000000"/>
                <w:lang w:eastAsia="en-GB"/>
              </w:rPr>
              <w:t>Urban/Rural</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Urban</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1310.7</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884.1</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-426.6</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-33</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Rural</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1672.2</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1336.1</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-336.1</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-20</w:t>
            </w:r>
          </w:p>
        </w:tc>
      </w:tr>
      <w:tr w:rsidR="009C705A" w:rsidRPr="009C705A" w:rsidTr="009C705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C705A" w:rsidRPr="009C705A" w:rsidRDefault="009C705A" w:rsidP="009C705A">
            <w:pPr>
              <w:spacing w:after="0" w:line="240" w:lineRule="auto"/>
              <w:jc w:val="right"/>
              <w:rPr>
                <w:rFonts w:ascii="Calibri" w:eastAsia="Times New Roman" w:hAnsi="Calibri" w:cs="Calibri"/>
                <w:b/>
                <w:bCs/>
                <w:i/>
                <w:iCs/>
                <w:color w:val="000000"/>
                <w:lang w:eastAsia="en-GB"/>
              </w:rPr>
            </w:pPr>
            <w:r w:rsidRPr="009C705A">
              <w:rPr>
                <w:rFonts w:ascii="Calibri" w:eastAsia="Times New Roman" w:hAnsi="Calibri" w:cs="Calibri"/>
                <w:b/>
                <w:bCs/>
                <w:i/>
                <w:iCs/>
                <w:color w:val="000000"/>
                <w:lang w:eastAsia="en-GB"/>
              </w:rPr>
              <w:t>Zone</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North</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865.8</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622.0</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-243.8</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-28</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Centre</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850.2</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662.0</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-188.2</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-22</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South</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577.4</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414.1</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-163.3</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-28</w:t>
            </w:r>
          </w:p>
        </w:tc>
      </w:tr>
      <w:tr w:rsidR="009C705A" w:rsidRPr="009C705A" w:rsidTr="009C705A">
        <w:trPr>
          <w:trHeight w:val="300"/>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rPr>
                <w:rFonts w:ascii="Calibri" w:eastAsia="Times New Roman" w:hAnsi="Calibri" w:cs="Calibri"/>
                <w:color w:val="000000"/>
                <w:lang w:eastAsia="en-GB"/>
              </w:rPr>
            </w:pPr>
            <w:r w:rsidRPr="009C705A">
              <w:rPr>
                <w:rFonts w:ascii="Calibri" w:eastAsia="Times New Roman" w:hAnsi="Calibri" w:cs="Calibri"/>
                <w:color w:val="000000"/>
                <w:lang w:eastAsia="en-GB"/>
              </w:rPr>
              <w:t>Municipality Chisinau</w:t>
            </w:r>
          </w:p>
        </w:tc>
        <w:tc>
          <w:tcPr>
            <w:tcW w:w="13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689.5</w:t>
            </w:r>
          </w:p>
        </w:tc>
        <w:tc>
          <w:tcPr>
            <w:tcW w:w="1352"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522.1</w:t>
            </w:r>
          </w:p>
        </w:tc>
        <w:tc>
          <w:tcPr>
            <w:tcW w:w="725"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-167.4</w:t>
            </w:r>
          </w:p>
        </w:tc>
        <w:tc>
          <w:tcPr>
            <w:tcW w:w="603" w:type="pct"/>
            <w:tcBorders>
              <w:top w:val="nil"/>
              <w:left w:val="nil"/>
              <w:bottom w:val="single" w:sz="4" w:space="0" w:color="auto"/>
              <w:right w:val="single" w:sz="4" w:space="0" w:color="auto"/>
            </w:tcBorders>
            <w:shd w:val="clear" w:color="auto" w:fill="auto"/>
            <w:noWrap/>
            <w:vAlign w:val="bottom"/>
            <w:hideMark/>
          </w:tcPr>
          <w:p w:rsidR="009C705A" w:rsidRPr="009C705A" w:rsidRDefault="009C705A" w:rsidP="009C705A">
            <w:pPr>
              <w:spacing w:after="0" w:line="240" w:lineRule="auto"/>
              <w:jc w:val="right"/>
              <w:rPr>
                <w:rFonts w:ascii="Calibri" w:eastAsia="Times New Roman" w:hAnsi="Calibri" w:cs="Calibri"/>
                <w:color w:val="000000"/>
                <w:lang w:eastAsia="en-GB"/>
              </w:rPr>
            </w:pPr>
            <w:r w:rsidRPr="009C705A">
              <w:rPr>
                <w:rFonts w:ascii="Calibri" w:eastAsia="Times New Roman" w:hAnsi="Calibri" w:cs="Calibri"/>
                <w:color w:val="000000"/>
                <w:lang w:eastAsia="en-GB"/>
              </w:rPr>
              <w:t>-24</w:t>
            </w:r>
          </w:p>
        </w:tc>
      </w:tr>
    </w:tbl>
    <w:p w:rsidR="009C705A" w:rsidRDefault="009C705A" w:rsidP="001E0AF5">
      <w:pPr>
        <w:jc w:val="both"/>
        <w:rPr>
          <w:b/>
          <w:i/>
        </w:rPr>
      </w:pPr>
    </w:p>
    <w:p w:rsidR="00CF7FBF" w:rsidRDefault="00CF7FBF" w:rsidP="00CF7FBF">
      <w:pPr>
        <w:jc w:val="both"/>
      </w:pPr>
      <w:r>
        <w:t>The precise impact of the population estimate changes on labour market indicators is dependent on a range of issues. As the new working age population is substantially lower when the new population definition is applied, it is expected all estimates of the number of people in different labour market statuses would also be lower. However, the impact on rates and ratios will depend on how the distribution of the population changes. The distribution in this case will have changed in various ways, across age groups, zones etc. In addition the group now excluded are a specific group, namely those who are not usually resident in Moldova but have a permanent residence in the country. The impact of the change on labour market related rates and ratios</w:t>
      </w:r>
      <w:r w:rsidR="001439A0">
        <w:t xml:space="preserve"> (e.g. unemployment rate)</w:t>
      </w:r>
      <w:r>
        <w:t xml:space="preserve"> is a factor of all of those changes and the direction of change is not easy to predict given the number of inter-related issues involved. The actual impacts are discussed in the main body of this report (section 2.2).</w:t>
      </w:r>
    </w:p>
    <w:p w:rsidR="001E0AF5" w:rsidRDefault="001E0AF5" w:rsidP="001E0AF5">
      <w:pPr>
        <w:jc w:val="both"/>
        <w:rPr>
          <w:b/>
          <w:i/>
        </w:rPr>
      </w:pPr>
      <w:r>
        <w:rPr>
          <w:b/>
          <w:i/>
        </w:rPr>
        <w:t>Summary:</w:t>
      </w:r>
    </w:p>
    <w:p w:rsidR="001E0AF5" w:rsidRDefault="001E0AF5" w:rsidP="001E0AF5">
      <w:pPr>
        <w:jc w:val="both"/>
      </w:pPr>
      <w:r>
        <w:t>In line with normal practice the estimates of population have been updated using data from the 2014 Census of Population. In addition, the population concept has changed from ‘stable’ to ‘usually resident population’ to be in line with international practices. The combined effect of these changes is to reduce the overall working age population and estimates of people in employment, unemployment and other</w:t>
      </w:r>
      <w:r w:rsidR="00CF7FBF">
        <w:t xml:space="preserve"> labour market statuses</w:t>
      </w:r>
      <w:r>
        <w:t>. Because this also changes the structure of the population used for weighting, key rates such as the unemployment rate and employment to popu</w:t>
      </w:r>
      <w:r w:rsidR="00CF7FBF">
        <w:t>lation ratio were also impacted, but not as substantially.</w:t>
      </w:r>
    </w:p>
    <w:p w:rsidR="001E0AF5" w:rsidRPr="001D71EF" w:rsidRDefault="001E0AF5" w:rsidP="001E0AF5">
      <w:pPr>
        <w:pStyle w:val="a7"/>
        <w:numPr>
          <w:ilvl w:val="0"/>
          <w:numId w:val="2"/>
        </w:numPr>
        <w:jc w:val="both"/>
        <w:rPr>
          <w:b/>
        </w:rPr>
      </w:pPr>
      <w:r>
        <w:rPr>
          <w:b/>
        </w:rPr>
        <w:lastRenderedPageBreak/>
        <w:t xml:space="preserve">Change in sampling design and frame: </w:t>
      </w:r>
    </w:p>
    <w:p w:rsidR="001E0AF5" w:rsidRPr="005F4DA9" w:rsidRDefault="001E0AF5" w:rsidP="001E0AF5">
      <w:pPr>
        <w:jc w:val="both"/>
      </w:pPr>
      <w:r w:rsidRPr="005F4DA9">
        <w:t>In the first quarter of 2019 a new sample design and frame have been introduced. The sampling frame (the set of dwellings from which the sample is selected) is now based on the 2014 Census of Population. Up to Q4 2018 it had been based on the 2004 Census of Population. This has had an important impact as some more recently developed areas of Chisinau in particular were not included in the old sampling frame but are now included. Because these areas have high rates of labour market participation, their introduction has increased estimates of employment and unemployment.</w:t>
      </w:r>
    </w:p>
    <w:p w:rsidR="001A0CB5" w:rsidRDefault="0056483B">
      <w:pPr>
        <w:jc w:val="both"/>
      </w:pPr>
      <w:r w:rsidRPr="0056483B">
        <w:t xml:space="preserve">In addition, a new sampling design has been introduced. Up to 2018 a two stage stratification approach was applied with an overall sample size of 7,200 dwellings per quarter. At the first stage, 150 </w:t>
      </w:r>
      <w:r w:rsidR="001A0CB5">
        <w:t>Primary Sampling Units (PSU)</w:t>
      </w:r>
      <w:r w:rsidRPr="0056483B">
        <w:t xml:space="preserve"> were </w:t>
      </w:r>
      <w:r w:rsidR="001A0CB5">
        <w:t>selected</w:t>
      </w:r>
      <w:r w:rsidRPr="0056483B">
        <w:t xml:space="preserve">, using </w:t>
      </w:r>
      <w:r w:rsidR="001A0CB5">
        <w:t>probability proportional to size (</w:t>
      </w:r>
      <w:r w:rsidRPr="0056483B">
        <w:t>PPS</w:t>
      </w:r>
      <w:r w:rsidR="001A0CB5">
        <w:t>)</w:t>
      </w:r>
      <w:r w:rsidRPr="0056483B">
        <w:t xml:space="preserve"> sampling</w:t>
      </w:r>
      <w:r w:rsidR="001A0CB5">
        <w:t>.</w:t>
      </w:r>
      <w:r w:rsidRPr="0056483B">
        <w:t xml:space="preserve"> </w:t>
      </w:r>
      <w:r w:rsidR="001A0CB5">
        <w:t>C</w:t>
      </w:r>
      <w:r w:rsidRPr="0056483B">
        <w:t>ommune</w:t>
      </w:r>
      <w:r w:rsidR="001A0CB5">
        <w:t>s</w:t>
      </w:r>
      <w:r w:rsidRPr="0056483B">
        <w:t xml:space="preserve"> (the second-level administrative division)</w:t>
      </w:r>
      <w:r w:rsidR="001A0CB5">
        <w:t xml:space="preserve"> were used as PSUs</w:t>
      </w:r>
      <w:r w:rsidRPr="0056483B">
        <w:t xml:space="preserve"> with some exceptions (towns of Cahul and Ungheni w</w:t>
      </w:r>
      <w:r w:rsidR="001A0CB5">
        <w:t>ere each</w:t>
      </w:r>
      <w:r w:rsidRPr="0056483B">
        <w:t xml:space="preserve"> divided in</w:t>
      </w:r>
      <w:r w:rsidR="001A0CB5">
        <w:t>to</w:t>
      </w:r>
      <w:r w:rsidRPr="0056483B">
        <w:t xml:space="preserve"> 2 PSUs, Balti city was divided into 5 PSUs and Chisinau city was divided in</w:t>
      </w:r>
      <w:r w:rsidR="001A0CB5">
        <w:t>to</w:t>
      </w:r>
      <w:r w:rsidRPr="0056483B">
        <w:t xml:space="preserve"> 20 PSUs). In rural PSUs a listing</w:t>
      </w:r>
      <w:r w:rsidR="001A0CB5">
        <w:t xml:space="preserve"> was done</w:t>
      </w:r>
      <w:r w:rsidRPr="0056483B">
        <w:t xml:space="preserve"> </w:t>
      </w:r>
      <w:r w:rsidR="001A0CB5">
        <w:t>starting from the</w:t>
      </w:r>
      <w:r w:rsidRPr="0056483B">
        <w:t xml:space="preserve"> list of electricity consumers, </w:t>
      </w:r>
      <w:r w:rsidR="001A0CB5">
        <w:t xml:space="preserve">while </w:t>
      </w:r>
      <w:r w:rsidRPr="0056483B">
        <w:t xml:space="preserve">in urban area the list of electricity consumers was used without any updating. At the second stage a </w:t>
      </w:r>
      <w:r w:rsidR="001A0CB5">
        <w:t>simple random sample (</w:t>
      </w:r>
      <w:r w:rsidRPr="0056483B">
        <w:t>SRS</w:t>
      </w:r>
      <w:r w:rsidR="001A0CB5">
        <w:t>)</w:t>
      </w:r>
      <w:r w:rsidRPr="0056483B">
        <w:t xml:space="preserve"> of addresses within each PSU w</w:t>
      </w:r>
      <w:r w:rsidR="001A0CB5">
        <w:t>as</w:t>
      </w:r>
      <w:r w:rsidRPr="0056483B">
        <w:t xml:space="preserve"> </w:t>
      </w:r>
      <w:r w:rsidR="001A0CB5">
        <w:t>selected</w:t>
      </w:r>
      <w:r w:rsidRPr="0056483B">
        <w:t xml:space="preserve">. </w:t>
      </w:r>
    </w:p>
    <w:p w:rsidR="0056483B" w:rsidRDefault="0056483B">
      <w:pPr>
        <w:jc w:val="both"/>
        <w:rPr>
          <w:highlight w:val="yellow"/>
        </w:rPr>
      </w:pPr>
      <w:r w:rsidRPr="0056483B">
        <w:t xml:space="preserve">From Q1 2019 onwards, at the first stage, a sample of 150 PSUs </w:t>
      </w:r>
      <w:r w:rsidR="001A0CB5">
        <w:t>continued to be</w:t>
      </w:r>
      <w:r w:rsidRPr="0056483B">
        <w:t xml:space="preserve"> chosen, but the nature of PSUs </w:t>
      </w:r>
      <w:r w:rsidR="001A0CB5">
        <w:t>a</w:t>
      </w:r>
      <w:r w:rsidRPr="0056483B">
        <w:t>re different</w:t>
      </w:r>
      <w:r w:rsidR="001A0CB5">
        <w:t xml:space="preserve"> to the previous sample</w:t>
      </w:r>
      <w:r w:rsidRPr="0056483B">
        <w:t xml:space="preserve">. </w:t>
      </w:r>
      <w:r w:rsidR="001A0CB5">
        <w:t>Now, o</w:t>
      </w:r>
      <w:r w:rsidRPr="0056483B">
        <w:t>ne PSU is an aggregation of 2 section</w:t>
      </w:r>
      <w:r w:rsidR="001A0CB5">
        <w:t>s</w:t>
      </w:r>
      <w:r w:rsidRPr="0056483B">
        <w:t xml:space="preserve"> from the last census (each section was composed </w:t>
      </w:r>
      <w:r w:rsidR="001A0CB5">
        <w:t>of</w:t>
      </w:r>
      <w:r w:rsidRPr="0056483B">
        <w:t xml:space="preserve"> 5-7 </w:t>
      </w:r>
      <w:r w:rsidR="001A0CB5">
        <w:t>enumeration areas (</w:t>
      </w:r>
      <w:r w:rsidRPr="0056483B">
        <w:t>EAs</w:t>
      </w:r>
      <w:r w:rsidR="001A0CB5">
        <w:t>)</w:t>
      </w:r>
      <w:r w:rsidRPr="0056483B">
        <w:t xml:space="preserve">), with </w:t>
      </w:r>
      <w:r w:rsidR="001A0CB5">
        <w:t xml:space="preserve">the </w:t>
      </w:r>
      <w:r w:rsidRPr="0056483B">
        <w:t xml:space="preserve">exception of Chisinau municipality, urban area, where the PSU is equal to an EA. In all selected PSUs a map updating was done. After this, within each PSU, a random sample of dwellings </w:t>
      </w:r>
      <w:r w:rsidR="001A0CB5">
        <w:t>has been</w:t>
      </w:r>
      <w:r w:rsidRPr="0056483B">
        <w:t xml:space="preserve"> selected with an overall quarterly sample of 7,620 dwellings.</w:t>
      </w:r>
    </w:p>
    <w:p w:rsidR="001E0AF5" w:rsidRDefault="001E0AF5">
      <w:pPr>
        <w:jc w:val="both"/>
        <w:rPr>
          <w:b/>
          <w:i/>
        </w:rPr>
      </w:pPr>
      <w:r>
        <w:rPr>
          <w:b/>
          <w:i/>
        </w:rPr>
        <w:t>Summary:</w:t>
      </w:r>
    </w:p>
    <w:p w:rsidR="001E0AF5" w:rsidRDefault="001E0AF5" w:rsidP="001E0AF5">
      <w:pPr>
        <w:jc w:val="both"/>
      </w:pPr>
      <w:r>
        <w:t>The sampling frame and design have been updated. The primary impact on estimates from this relates to the inclusion of newer residential areas in Chisinau</w:t>
      </w:r>
      <w:r w:rsidR="00CF7FBF">
        <w:t xml:space="preserve"> and other locations.</w:t>
      </w:r>
      <w:r>
        <w:t xml:space="preserve"> </w:t>
      </w:r>
      <w:r w:rsidR="00CF7FBF">
        <w:t>T</w:t>
      </w:r>
      <w:r>
        <w:t xml:space="preserve">he result of which has been </w:t>
      </w:r>
      <w:r w:rsidR="00CF7FBF">
        <w:t>an upward break in key labour market series as discussed in section 3</w:t>
      </w:r>
      <w:r>
        <w:t>.</w:t>
      </w:r>
    </w:p>
    <w:p w:rsidR="001E0AF5" w:rsidRPr="000071FC" w:rsidRDefault="001E0AF5" w:rsidP="001D71EF">
      <w:pPr>
        <w:jc w:val="both"/>
      </w:pPr>
    </w:p>
    <w:sectPr w:rsidR="001E0AF5" w:rsidRPr="000071FC" w:rsidSect="00C641D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45" w:rsidRDefault="00E95045" w:rsidP="00DB1D9F">
      <w:pPr>
        <w:spacing w:after="0" w:line="240" w:lineRule="auto"/>
      </w:pPr>
      <w:r>
        <w:separator/>
      </w:r>
    </w:p>
  </w:endnote>
  <w:endnote w:type="continuationSeparator" w:id="0">
    <w:p w:rsidR="00E95045" w:rsidRDefault="00E95045" w:rsidP="00DB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7485"/>
      <w:docPartObj>
        <w:docPartGallery w:val="Page Numbers (Bottom of Page)"/>
        <w:docPartUnique/>
      </w:docPartObj>
    </w:sdtPr>
    <w:sdtEndPr>
      <w:rPr>
        <w:noProof/>
      </w:rPr>
    </w:sdtEndPr>
    <w:sdtContent>
      <w:p w:rsidR="00637EBA" w:rsidRDefault="00AE0012">
        <w:pPr>
          <w:pStyle w:val="af4"/>
          <w:jc w:val="center"/>
        </w:pPr>
        <w:r>
          <w:fldChar w:fldCharType="begin"/>
        </w:r>
        <w:r w:rsidR="00637EBA">
          <w:instrText xml:space="preserve"> PAGE   \* MERGEFORMAT </w:instrText>
        </w:r>
        <w:r>
          <w:fldChar w:fldCharType="separate"/>
        </w:r>
        <w:r w:rsidR="00A83FCB">
          <w:rPr>
            <w:noProof/>
          </w:rPr>
          <w:t>19</w:t>
        </w:r>
        <w:r>
          <w:rPr>
            <w:noProof/>
          </w:rPr>
          <w:fldChar w:fldCharType="end"/>
        </w:r>
      </w:p>
    </w:sdtContent>
  </w:sdt>
  <w:p w:rsidR="00637EBA" w:rsidRDefault="00637EB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45" w:rsidRDefault="00E95045" w:rsidP="00DB1D9F">
      <w:pPr>
        <w:spacing w:after="0" w:line="240" w:lineRule="auto"/>
      </w:pPr>
      <w:r>
        <w:separator/>
      </w:r>
    </w:p>
  </w:footnote>
  <w:footnote w:type="continuationSeparator" w:id="0">
    <w:p w:rsidR="00E95045" w:rsidRDefault="00E95045" w:rsidP="00DB1D9F">
      <w:pPr>
        <w:spacing w:after="0" w:line="240" w:lineRule="auto"/>
      </w:pPr>
      <w:r>
        <w:continuationSeparator/>
      </w:r>
    </w:p>
  </w:footnote>
  <w:footnote w:id="1">
    <w:p w:rsidR="00B1133A" w:rsidRPr="001727B3" w:rsidRDefault="00B1133A">
      <w:pPr>
        <w:pStyle w:val="a3"/>
      </w:pPr>
      <w:r>
        <w:rPr>
          <w:rStyle w:val="a5"/>
        </w:rPr>
        <w:footnoteRef/>
      </w:r>
      <w:r>
        <w:t xml:space="preserve"> LFS</w:t>
      </w:r>
      <w:r w:rsidRPr="001727B3">
        <w:t xml:space="preserve"> questionnaires for 2018 allowed the calculation of "employment" according to the new definition, adopted by the 19th International Conference of Labo</w:t>
      </w:r>
      <w:r>
        <w:t>u</w:t>
      </w:r>
      <w:r w:rsidRPr="001727B3">
        <w:t>r Statisticians in 2013</w:t>
      </w:r>
      <w:r>
        <w:t>.</w:t>
      </w:r>
    </w:p>
  </w:footnote>
  <w:footnote w:id="2">
    <w:p w:rsidR="00B1133A" w:rsidRPr="00DB1D9F" w:rsidRDefault="00B1133A">
      <w:pPr>
        <w:pStyle w:val="a3"/>
      </w:pPr>
      <w:r w:rsidRPr="00DB1D9F">
        <w:rPr>
          <w:rStyle w:val="a5"/>
          <w:sz w:val="16"/>
        </w:rPr>
        <w:footnoteRef/>
      </w:r>
      <w:r w:rsidRPr="00DB1D9F">
        <w:rPr>
          <w:sz w:val="16"/>
        </w:rPr>
        <w:t xml:space="preserve"> Statistical quality is a function of a range of issues. See the UN National Quality Assurance Frameworks Manual pages 7 to 8 for a brief description: </w:t>
      </w:r>
      <w:hyperlink r:id="rId1" w:history="1">
        <w:r w:rsidRPr="00DB1D9F">
          <w:rPr>
            <w:rStyle w:val="a6"/>
            <w:sz w:val="16"/>
          </w:rPr>
          <w:t>https://unstats.un.org/unsd/methodology/dataquality/references/1902216-UNNQAFManual-WEB.pdf</w:t>
        </w:r>
      </w:hyperlink>
    </w:p>
  </w:footnote>
  <w:footnote w:id="3">
    <w:p w:rsidR="00B1133A" w:rsidRPr="00962E60" w:rsidRDefault="00B1133A">
      <w:pPr>
        <w:pStyle w:val="a3"/>
        <w:rPr>
          <w:sz w:val="16"/>
        </w:rPr>
      </w:pPr>
      <w:r>
        <w:rPr>
          <w:rStyle w:val="a5"/>
        </w:rPr>
        <w:footnoteRef/>
      </w:r>
      <w:r>
        <w:t xml:space="preserve"> </w:t>
      </w:r>
      <w:r w:rsidRPr="00962E60">
        <w:rPr>
          <w:sz w:val="16"/>
        </w:rPr>
        <w:t>The results of the AFM will be recalculated taking into account the new definition of the population for the years 2014-2018.</w:t>
      </w:r>
    </w:p>
  </w:footnote>
  <w:footnote w:id="4">
    <w:p w:rsidR="00B1133A" w:rsidRPr="00972D35" w:rsidRDefault="00B1133A" w:rsidP="001E0AF5">
      <w:pPr>
        <w:pStyle w:val="a3"/>
      </w:pPr>
      <w:r w:rsidRPr="00972D35">
        <w:rPr>
          <w:rStyle w:val="a5"/>
          <w:sz w:val="16"/>
        </w:rPr>
        <w:footnoteRef/>
      </w:r>
      <w:r w:rsidRPr="00972D35">
        <w:rPr>
          <w:sz w:val="16"/>
        </w:rPr>
        <w:t xml:space="preserve"> See : https://ilostat.ilo.org/resources/methods/icls/icls-documents/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BBE"/>
    <w:multiLevelType w:val="hybridMultilevel"/>
    <w:tmpl w:val="69CA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B43C6"/>
    <w:multiLevelType w:val="hybridMultilevel"/>
    <w:tmpl w:val="FF40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B26D1"/>
    <w:multiLevelType w:val="hybridMultilevel"/>
    <w:tmpl w:val="816C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15CE5"/>
    <w:multiLevelType w:val="hybridMultilevel"/>
    <w:tmpl w:val="01E6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44B2A"/>
    <w:multiLevelType w:val="hybridMultilevel"/>
    <w:tmpl w:val="9B5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27757"/>
    <w:multiLevelType w:val="hybridMultilevel"/>
    <w:tmpl w:val="20DA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87B02"/>
    <w:multiLevelType w:val="multilevel"/>
    <w:tmpl w:val="B802B2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F511F3"/>
    <w:multiLevelType w:val="hybridMultilevel"/>
    <w:tmpl w:val="CBE243A8"/>
    <w:lvl w:ilvl="0" w:tplc="B134BE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234607D"/>
    <w:multiLevelType w:val="hybridMultilevel"/>
    <w:tmpl w:val="BBEE1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007B51"/>
    <w:multiLevelType w:val="multilevel"/>
    <w:tmpl w:val="3E8499AC"/>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3220EAD"/>
    <w:multiLevelType w:val="hybridMultilevel"/>
    <w:tmpl w:val="77D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034361"/>
    <w:multiLevelType w:val="hybridMultilevel"/>
    <w:tmpl w:val="254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47584"/>
    <w:multiLevelType w:val="hybridMultilevel"/>
    <w:tmpl w:val="2B2A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9409B"/>
    <w:multiLevelType w:val="hybridMultilevel"/>
    <w:tmpl w:val="7500F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187CC8"/>
    <w:multiLevelType w:val="multilevel"/>
    <w:tmpl w:val="B802B2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7ED37D7"/>
    <w:multiLevelType w:val="multilevel"/>
    <w:tmpl w:val="B802B2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98015DD"/>
    <w:multiLevelType w:val="hybridMultilevel"/>
    <w:tmpl w:val="DEE0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D768C7"/>
    <w:multiLevelType w:val="multilevel"/>
    <w:tmpl w:val="B802B2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FB07F4D"/>
    <w:multiLevelType w:val="hybridMultilevel"/>
    <w:tmpl w:val="1CD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7"/>
  </w:num>
  <w:num w:numId="6">
    <w:abstractNumId w:val="7"/>
  </w:num>
  <w:num w:numId="7">
    <w:abstractNumId w:val="13"/>
  </w:num>
  <w:num w:numId="8">
    <w:abstractNumId w:val="8"/>
  </w:num>
  <w:num w:numId="9">
    <w:abstractNumId w:val="4"/>
  </w:num>
  <w:num w:numId="10">
    <w:abstractNumId w:val="15"/>
  </w:num>
  <w:num w:numId="11">
    <w:abstractNumId w:val="9"/>
  </w:num>
  <w:num w:numId="12">
    <w:abstractNumId w:val="16"/>
  </w:num>
  <w:num w:numId="13">
    <w:abstractNumId w:val="11"/>
  </w:num>
  <w:num w:numId="14">
    <w:abstractNumId w:val="6"/>
  </w:num>
  <w:num w:numId="15">
    <w:abstractNumId w:val="10"/>
  </w:num>
  <w:num w:numId="16">
    <w:abstractNumId w:val="3"/>
  </w:num>
  <w:num w:numId="17">
    <w:abstractNumId w:val="18"/>
  </w:num>
  <w:num w:numId="18">
    <w:abstractNumId w:val="14"/>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iree Manamela">
    <w15:presenceInfo w15:providerId="Windows Live" w15:userId="b335c08b5098d124"/>
  </w15:person>
  <w15:person w15:author="Walsh, Kieran">
    <w15:presenceInfo w15:providerId="AD" w15:userId="S-1-5-21-525788414-1921020387-24915789-286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4400A7"/>
    <w:rsid w:val="000071FC"/>
    <w:rsid w:val="00023021"/>
    <w:rsid w:val="000674D9"/>
    <w:rsid w:val="00083A77"/>
    <w:rsid w:val="000B2E40"/>
    <w:rsid w:val="000D47EA"/>
    <w:rsid w:val="000D6F2C"/>
    <w:rsid w:val="000E489C"/>
    <w:rsid w:val="000E7F54"/>
    <w:rsid w:val="000F0AB3"/>
    <w:rsid w:val="00104071"/>
    <w:rsid w:val="00115AF8"/>
    <w:rsid w:val="00131BA1"/>
    <w:rsid w:val="001439A0"/>
    <w:rsid w:val="00146714"/>
    <w:rsid w:val="0015141D"/>
    <w:rsid w:val="0015219D"/>
    <w:rsid w:val="00152F1B"/>
    <w:rsid w:val="00154745"/>
    <w:rsid w:val="0016129D"/>
    <w:rsid w:val="001636E0"/>
    <w:rsid w:val="0016660E"/>
    <w:rsid w:val="001727B3"/>
    <w:rsid w:val="00186152"/>
    <w:rsid w:val="001A0CB5"/>
    <w:rsid w:val="001B2E9E"/>
    <w:rsid w:val="001C6661"/>
    <w:rsid w:val="001D71EF"/>
    <w:rsid w:val="001D7819"/>
    <w:rsid w:val="001E0AF5"/>
    <w:rsid w:val="002166AE"/>
    <w:rsid w:val="0022556D"/>
    <w:rsid w:val="0023385E"/>
    <w:rsid w:val="002345C6"/>
    <w:rsid w:val="00245FB5"/>
    <w:rsid w:val="00247D7D"/>
    <w:rsid w:val="002650C6"/>
    <w:rsid w:val="00265EE2"/>
    <w:rsid w:val="002707DE"/>
    <w:rsid w:val="00282CA8"/>
    <w:rsid w:val="00291F55"/>
    <w:rsid w:val="0029634E"/>
    <w:rsid w:val="002C5B1D"/>
    <w:rsid w:val="002D3C89"/>
    <w:rsid w:val="002D4171"/>
    <w:rsid w:val="002F7AA2"/>
    <w:rsid w:val="00310AA5"/>
    <w:rsid w:val="003264D2"/>
    <w:rsid w:val="00354DBD"/>
    <w:rsid w:val="00370064"/>
    <w:rsid w:val="0037627D"/>
    <w:rsid w:val="00377144"/>
    <w:rsid w:val="0038272B"/>
    <w:rsid w:val="00385F18"/>
    <w:rsid w:val="00395528"/>
    <w:rsid w:val="003D3DC2"/>
    <w:rsid w:val="00410F10"/>
    <w:rsid w:val="00436439"/>
    <w:rsid w:val="004400A7"/>
    <w:rsid w:val="00453BD8"/>
    <w:rsid w:val="004653B9"/>
    <w:rsid w:val="004839E6"/>
    <w:rsid w:val="00484C0C"/>
    <w:rsid w:val="004B2DE7"/>
    <w:rsid w:val="004B4A91"/>
    <w:rsid w:val="004C20AB"/>
    <w:rsid w:val="004E2FBC"/>
    <w:rsid w:val="005035EF"/>
    <w:rsid w:val="00503974"/>
    <w:rsid w:val="00510CB0"/>
    <w:rsid w:val="00525900"/>
    <w:rsid w:val="0053326B"/>
    <w:rsid w:val="0056483B"/>
    <w:rsid w:val="005772BD"/>
    <w:rsid w:val="005C58D7"/>
    <w:rsid w:val="005D0FB1"/>
    <w:rsid w:val="005F4DA9"/>
    <w:rsid w:val="006133AA"/>
    <w:rsid w:val="00615875"/>
    <w:rsid w:val="006158AB"/>
    <w:rsid w:val="00637EBA"/>
    <w:rsid w:val="00662C35"/>
    <w:rsid w:val="006746C6"/>
    <w:rsid w:val="00691451"/>
    <w:rsid w:val="006B04DC"/>
    <w:rsid w:val="006B3DDA"/>
    <w:rsid w:val="006B43AF"/>
    <w:rsid w:val="006C5A64"/>
    <w:rsid w:val="006E6469"/>
    <w:rsid w:val="006F2798"/>
    <w:rsid w:val="006F7607"/>
    <w:rsid w:val="00700466"/>
    <w:rsid w:val="00702801"/>
    <w:rsid w:val="00721A9E"/>
    <w:rsid w:val="0072735E"/>
    <w:rsid w:val="00741D79"/>
    <w:rsid w:val="0074452E"/>
    <w:rsid w:val="00790808"/>
    <w:rsid w:val="00797C28"/>
    <w:rsid w:val="007B00BF"/>
    <w:rsid w:val="007C56B8"/>
    <w:rsid w:val="007C5ACD"/>
    <w:rsid w:val="00820478"/>
    <w:rsid w:val="00822DE0"/>
    <w:rsid w:val="008755E1"/>
    <w:rsid w:val="00897F20"/>
    <w:rsid w:val="008A52CF"/>
    <w:rsid w:val="008B2A8E"/>
    <w:rsid w:val="008B6108"/>
    <w:rsid w:val="008B7000"/>
    <w:rsid w:val="008C5867"/>
    <w:rsid w:val="008D71DD"/>
    <w:rsid w:val="008E7DD3"/>
    <w:rsid w:val="008F59F4"/>
    <w:rsid w:val="0090417F"/>
    <w:rsid w:val="00913C4D"/>
    <w:rsid w:val="00914B41"/>
    <w:rsid w:val="00923D59"/>
    <w:rsid w:val="009340A2"/>
    <w:rsid w:val="00935C62"/>
    <w:rsid w:val="00945568"/>
    <w:rsid w:val="00960952"/>
    <w:rsid w:val="00962E60"/>
    <w:rsid w:val="00972D35"/>
    <w:rsid w:val="00974E7E"/>
    <w:rsid w:val="00992593"/>
    <w:rsid w:val="00995F14"/>
    <w:rsid w:val="009A2AAC"/>
    <w:rsid w:val="009A2E93"/>
    <w:rsid w:val="009C705A"/>
    <w:rsid w:val="009F2916"/>
    <w:rsid w:val="00A25456"/>
    <w:rsid w:val="00A44F15"/>
    <w:rsid w:val="00A51505"/>
    <w:rsid w:val="00A554CA"/>
    <w:rsid w:val="00A60CAB"/>
    <w:rsid w:val="00A74A8F"/>
    <w:rsid w:val="00A83FCB"/>
    <w:rsid w:val="00A871A8"/>
    <w:rsid w:val="00A90573"/>
    <w:rsid w:val="00A9105C"/>
    <w:rsid w:val="00AB4CC0"/>
    <w:rsid w:val="00AC281A"/>
    <w:rsid w:val="00AE0012"/>
    <w:rsid w:val="00AE1940"/>
    <w:rsid w:val="00AE771C"/>
    <w:rsid w:val="00AF3A37"/>
    <w:rsid w:val="00B10A16"/>
    <w:rsid w:val="00B1133A"/>
    <w:rsid w:val="00B17F5E"/>
    <w:rsid w:val="00B80797"/>
    <w:rsid w:val="00BD0A29"/>
    <w:rsid w:val="00BF1E22"/>
    <w:rsid w:val="00BF2FE1"/>
    <w:rsid w:val="00BF624E"/>
    <w:rsid w:val="00C50EFD"/>
    <w:rsid w:val="00C61785"/>
    <w:rsid w:val="00C641DA"/>
    <w:rsid w:val="00CA55F8"/>
    <w:rsid w:val="00CB20F5"/>
    <w:rsid w:val="00CB37CD"/>
    <w:rsid w:val="00CE6735"/>
    <w:rsid w:val="00CE7504"/>
    <w:rsid w:val="00CF7FBF"/>
    <w:rsid w:val="00D13F9C"/>
    <w:rsid w:val="00D1532E"/>
    <w:rsid w:val="00D16222"/>
    <w:rsid w:val="00D85CD1"/>
    <w:rsid w:val="00DA4F56"/>
    <w:rsid w:val="00DB1D9F"/>
    <w:rsid w:val="00DC1DBE"/>
    <w:rsid w:val="00DC30C0"/>
    <w:rsid w:val="00DC78C4"/>
    <w:rsid w:val="00DD0997"/>
    <w:rsid w:val="00DD1054"/>
    <w:rsid w:val="00DE4E43"/>
    <w:rsid w:val="00DE7983"/>
    <w:rsid w:val="00DF7AFD"/>
    <w:rsid w:val="00E078E0"/>
    <w:rsid w:val="00E17F1F"/>
    <w:rsid w:val="00E20147"/>
    <w:rsid w:val="00E352AD"/>
    <w:rsid w:val="00E41825"/>
    <w:rsid w:val="00E53922"/>
    <w:rsid w:val="00E56D0C"/>
    <w:rsid w:val="00E75248"/>
    <w:rsid w:val="00E95045"/>
    <w:rsid w:val="00EB4EC3"/>
    <w:rsid w:val="00EC5C36"/>
    <w:rsid w:val="00F36EE3"/>
    <w:rsid w:val="00F7779D"/>
    <w:rsid w:val="00F87967"/>
    <w:rsid w:val="00F87CC6"/>
    <w:rsid w:val="00F9787B"/>
    <w:rsid w:val="00FA7FB2"/>
    <w:rsid w:val="00FB4035"/>
    <w:rsid w:val="00FB5F38"/>
    <w:rsid w:val="00FC0D70"/>
    <w:rsid w:val="00FD0B4E"/>
    <w:rsid w:val="00FE6CB9"/>
    <w:rsid w:val="00FF2632"/>
    <w:rsid w:val="00FF3CEF"/>
    <w:rsid w:val="00FF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1D9F"/>
    <w:pPr>
      <w:spacing w:after="0" w:line="240" w:lineRule="auto"/>
    </w:pPr>
    <w:rPr>
      <w:sz w:val="20"/>
      <w:szCs w:val="20"/>
    </w:rPr>
  </w:style>
  <w:style w:type="character" w:customStyle="1" w:styleId="a4">
    <w:name w:val="Текст сноски Знак"/>
    <w:basedOn w:val="a0"/>
    <w:link w:val="a3"/>
    <w:uiPriority w:val="99"/>
    <w:semiHidden/>
    <w:rsid w:val="00DB1D9F"/>
    <w:rPr>
      <w:sz w:val="20"/>
      <w:szCs w:val="20"/>
    </w:rPr>
  </w:style>
  <w:style w:type="character" w:styleId="a5">
    <w:name w:val="footnote reference"/>
    <w:basedOn w:val="a0"/>
    <w:uiPriority w:val="99"/>
    <w:semiHidden/>
    <w:unhideWhenUsed/>
    <w:rsid w:val="00DB1D9F"/>
    <w:rPr>
      <w:vertAlign w:val="superscript"/>
    </w:rPr>
  </w:style>
  <w:style w:type="character" w:styleId="a6">
    <w:name w:val="Hyperlink"/>
    <w:basedOn w:val="a0"/>
    <w:uiPriority w:val="99"/>
    <w:unhideWhenUsed/>
    <w:rsid w:val="00DB1D9F"/>
    <w:rPr>
      <w:color w:val="0563C1" w:themeColor="hyperlink"/>
      <w:u w:val="single"/>
    </w:rPr>
  </w:style>
  <w:style w:type="paragraph" w:styleId="a7">
    <w:name w:val="List Paragraph"/>
    <w:basedOn w:val="a"/>
    <w:uiPriority w:val="34"/>
    <w:qFormat/>
    <w:rsid w:val="00AF3A37"/>
    <w:pPr>
      <w:ind w:left="720"/>
      <w:contextualSpacing/>
    </w:pPr>
  </w:style>
  <w:style w:type="table" w:styleId="a8">
    <w:name w:val="Table Grid"/>
    <w:basedOn w:val="a1"/>
    <w:uiPriority w:val="39"/>
    <w:rsid w:val="001E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semiHidden/>
    <w:unhideWhenUsed/>
    <w:rsid w:val="008B2A8E"/>
    <w:pPr>
      <w:spacing w:after="0" w:line="240" w:lineRule="auto"/>
    </w:pPr>
    <w:rPr>
      <w:rFonts w:ascii="Calibri" w:hAnsi="Calibri"/>
      <w:szCs w:val="21"/>
    </w:rPr>
  </w:style>
  <w:style w:type="character" w:customStyle="1" w:styleId="aa">
    <w:name w:val="Текст Знак"/>
    <w:basedOn w:val="a0"/>
    <w:link w:val="a9"/>
    <w:uiPriority w:val="99"/>
    <w:semiHidden/>
    <w:rsid w:val="008B2A8E"/>
    <w:rPr>
      <w:rFonts w:ascii="Calibri" w:hAnsi="Calibri"/>
      <w:szCs w:val="21"/>
    </w:rPr>
  </w:style>
  <w:style w:type="paragraph" w:styleId="ab">
    <w:name w:val="Balloon Text"/>
    <w:basedOn w:val="a"/>
    <w:link w:val="ac"/>
    <w:uiPriority w:val="99"/>
    <w:semiHidden/>
    <w:unhideWhenUsed/>
    <w:rsid w:val="000D6F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D6F2C"/>
    <w:rPr>
      <w:rFonts w:ascii="Segoe UI" w:hAnsi="Segoe UI" w:cs="Segoe UI"/>
      <w:sz w:val="18"/>
      <w:szCs w:val="18"/>
    </w:rPr>
  </w:style>
  <w:style w:type="character" w:styleId="ad">
    <w:name w:val="annotation reference"/>
    <w:basedOn w:val="a0"/>
    <w:uiPriority w:val="99"/>
    <w:semiHidden/>
    <w:unhideWhenUsed/>
    <w:rsid w:val="002C5B1D"/>
    <w:rPr>
      <w:sz w:val="16"/>
      <w:szCs w:val="16"/>
    </w:rPr>
  </w:style>
  <w:style w:type="paragraph" w:styleId="ae">
    <w:name w:val="annotation text"/>
    <w:basedOn w:val="a"/>
    <w:link w:val="af"/>
    <w:uiPriority w:val="99"/>
    <w:semiHidden/>
    <w:unhideWhenUsed/>
    <w:rsid w:val="002C5B1D"/>
    <w:pPr>
      <w:spacing w:line="240" w:lineRule="auto"/>
    </w:pPr>
    <w:rPr>
      <w:sz w:val="20"/>
      <w:szCs w:val="20"/>
    </w:rPr>
  </w:style>
  <w:style w:type="character" w:customStyle="1" w:styleId="af">
    <w:name w:val="Текст примечания Знак"/>
    <w:basedOn w:val="a0"/>
    <w:link w:val="ae"/>
    <w:uiPriority w:val="99"/>
    <w:semiHidden/>
    <w:rsid w:val="002C5B1D"/>
    <w:rPr>
      <w:sz w:val="20"/>
      <w:szCs w:val="20"/>
    </w:rPr>
  </w:style>
  <w:style w:type="paragraph" w:styleId="af0">
    <w:name w:val="annotation subject"/>
    <w:basedOn w:val="ae"/>
    <w:next w:val="ae"/>
    <w:link w:val="af1"/>
    <w:uiPriority w:val="99"/>
    <w:semiHidden/>
    <w:unhideWhenUsed/>
    <w:rsid w:val="002C5B1D"/>
    <w:rPr>
      <w:b/>
      <w:bCs/>
    </w:rPr>
  </w:style>
  <w:style w:type="character" w:customStyle="1" w:styleId="af1">
    <w:name w:val="Тема примечания Знак"/>
    <w:basedOn w:val="af"/>
    <w:link w:val="af0"/>
    <w:uiPriority w:val="99"/>
    <w:semiHidden/>
    <w:rsid w:val="002C5B1D"/>
    <w:rPr>
      <w:b/>
      <w:bCs/>
      <w:sz w:val="20"/>
      <w:szCs w:val="20"/>
    </w:rPr>
  </w:style>
  <w:style w:type="paragraph" w:styleId="af2">
    <w:name w:val="header"/>
    <w:basedOn w:val="a"/>
    <w:link w:val="af3"/>
    <w:uiPriority w:val="99"/>
    <w:unhideWhenUsed/>
    <w:rsid w:val="00637EBA"/>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637EBA"/>
  </w:style>
  <w:style w:type="paragraph" w:styleId="af4">
    <w:name w:val="footer"/>
    <w:basedOn w:val="a"/>
    <w:link w:val="af5"/>
    <w:uiPriority w:val="99"/>
    <w:unhideWhenUsed/>
    <w:rsid w:val="00637EBA"/>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63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1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9F"/>
    <w:rPr>
      <w:sz w:val="20"/>
      <w:szCs w:val="20"/>
    </w:rPr>
  </w:style>
  <w:style w:type="character" w:styleId="FootnoteReference">
    <w:name w:val="footnote reference"/>
    <w:basedOn w:val="DefaultParagraphFont"/>
    <w:uiPriority w:val="99"/>
    <w:semiHidden/>
    <w:unhideWhenUsed/>
    <w:rsid w:val="00DB1D9F"/>
    <w:rPr>
      <w:vertAlign w:val="superscript"/>
    </w:rPr>
  </w:style>
  <w:style w:type="character" w:styleId="Hyperlink">
    <w:name w:val="Hyperlink"/>
    <w:basedOn w:val="DefaultParagraphFont"/>
    <w:uiPriority w:val="99"/>
    <w:unhideWhenUsed/>
    <w:rsid w:val="00DB1D9F"/>
    <w:rPr>
      <w:color w:val="0563C1" w:themeColor="hyperlink"/>
      <w:u w:val="single"/>
    </w:rPr>
  </w:style>
  <w:style w:type="paragraph" w:styleId="ListParagraph">
    <w:name w:val="List Paragraph"/>
    <w:basedOn w:val="Normal"/>
    <w:uiPriority w:val="34"/>
    <w:qFormat/>
    <w:rsid w:val="00AF3A37"/>
    <w:pPr>
      <w:ind w:left="720"/>
      <w:contextualSpacing/>
    </w:pPr>
  </w:style>
  <w:style w:type="table" w:styleId="TableGrid">
    <w:name w:val="Table Grid"/>
    <w:basedOn w:val="TableNormal"/>
    <w:uiPriority w:val="39"/>
    <w:rsid w:val="001E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B2A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2A8E"/>
    <w:rPr>
      <w:rFonts w:ascii="Calibri" w:hAnsi="Calibri"/>
      <w:szCs w:val="21"/>
    </w:rPr>
  </w:style>
  <w:style w:type="paragraph" w:styleId="BalloonText">
    <w:name w:val="Balloon Text"/>
    <w:basedOn w:val="Normal"/>
    <w:link w:val="BalloonTextChar"/>
    <w:uiPriority w:val="99"/>
    <w:semiHidden/>
    <w:unhideWhenUsed/>
    <w:rsid w:val="000D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2C"/>
    <w:rPr>
      <w:rFonts w:ascii="Segoe UI" w:hAnsi="Segoe UI" w:cs="Segoe UI"/>
      <w:sz w:val="18"/>
      <w:szCs w:val="18"/>
    </w:rPr>
  </w:style>
  <w:style w:type="character" w:styleId="CommentReference">
    <w:name w:val="annotation reference"/>
    <w:basedOn w:val="DefaultParagraphFont"/>
    <w:uiPriority w:val="99"/>
    <w:semiHidden/>
    <w:unhideWhenUsed/>
    <w:rsid w:val="002C5B1D"/>
    <w:rPr>
      <w:sz w:val="16"/>
      <w:szCs w:val="16"/>
    </w:rPr>
  </w:style>
  <w:style w:type="paragraph" w:styleId="CommentText">
    <w:name w:val="annotation text"/>
    <w:basedOn w:val="Normal"/>
    <w:link w:val="CommentTextChar"/>
    <w:uiPriority w:val="99"/>
    <w:semiHidden/>
    <w:unhideWhenUsed/>
    <w:rsid w:val="002C5B1D"/>
    <w:pPr>
      <w:spacing w:line="240" w:lineRule="auto"/>
    </w:pPr>
    <w:rPr>
      <w:sz w:val="20"/>
      <w:szCs w:val="20"/>
    </w:rPr>
  </w:style>
  <w:style w:type="character" w:customStyle="1" w:styleId="CommentTextChar">
    <w:name w:val="Comment Text Char"/>
    <w:basedOn w:val="DefaultParagraphFont"/>
    <w:link w:val="CommentText"/>
    <w:uiPriority w:val="99"/>
    <w:semiHidden/>
    <w:rsid w:val="002C5B1D"/>
    <w:rPr>
      <w:sz w:val="20"/>
      <w:szCs w:val="20"/>
    </w:rPr>
  </w:style>
  <w:style w:type="paragraph" w:styleId="CommentSubject">
    <w:name w:val="annotation subject"/>
    <w:basedOn w:val="CommentText"/>
    <w:next w:val="CommentText"/>
    <w:link w:val="CommentSubjectChar"/>
    <w:uiPriority w:val="99"/>
    <w:semiHidden/>
    <w:unhideWhenUsed/>
    <w:rsid w:val="002C5B1D"/>
    <w:rPr>
      <w:b/>
      <w:bCs/>
    </w:rPr>
  </w:style>
  <w:style w:type="character" w:customStyle="1" w:styleId="CommentSubjectChar">
    <w:name w:val="Comment Subject Char"/>
    <w:basedOn w:val="CommentTextChar"/>
    <w:link w:val="CommentSubject"/>
    <w:uiPriority w:val="99"/>
    <w:semiHidden/>
    <w:rsid w:val="002C5B1D"/>
    <w:rPr>
      <w:b/>
      <w:bCs/>
      <w:sz w:val="20"/>
      <w:szCs w:val="20"/>
    </w:rPr>
  </w:style>
  <w:style w:type="paragraph" w:styleId="Header">
    <w:name w:val="header"/>
    <w:basedOn w:val="Normal"/>
    <w:link w:val="HeaderChar"/>
    <w:uiPriority w:val="99"/>
    <w:unhideWhenUsed/>
    <w:rsid w:val="00637EB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37EBA"/>
  </w:style>
  <w:style w:type="paragraph" w:styleId="Footer">
    <w:name w:val="footer"/>
    <w:basedOn w:val="Normal"/>
    <w:link w:val="FooterChar"/>
    <w:uiPriority w:val="99"/>
    <w:unhideWhenUsed/>
    <w:rsid w:val="00637EB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37EBA"/>
  </w:style>
</w:styles>
</file>

<file path=word/webSettings.xml><?xml version="1.0" encoding="utf-8"?>
<w:webSettings xmlns:r="http://schemas.openxmlformats.org/officeDocument/2006/relationships" xmlns:w="http://schemas.openxmlformats.org/wordprocessingml/2006/main">
  <w:divs>
    <w:div w:id="55473129">
      <w:bodyDiv w:val="1"/>
      <w:marLeft w:val="0"/>
      <w:marRight w:val="0"/>
      <w:marTop w:val="0"/>
      <w:marBottom w:val="0"/>
      <w:divBdr>
        <w:top w:val="none" w:sz="0" w:space="0" w:color="auto"/>
        <w:left w:val="none" w:sz="0" w:space="0" w:color="auto"/>
        <w:bottom w:val="none" w:sz="0" w:space="0" w:color="auto"/>
        <w:right w:val="none" w:sz="0" w:space="0" w:color="auto"/>
      </w:divBdr>
    </w:div>
    <w:div w:id="116603816">
      <w:bodyDiv w:val="1"/>
      <w:marLeft w:val="0"/>
      <w:marRight w:val="0"/>
      <w:marTop w:val="0"/>
      <w:marBottom w:val="0"/>
      <w:divBdr>
        <w:top w:val="none" w:sz="0" w:space="0" w:color="auto"/>
        <w:left w:val="none" w:sz="0" w:space="0" w:color="auto"/>
        <w:bottom w:val="none" w:sz="0" w:space="0" w:color="auto"/>
        <w:right w:val="none" w:sz="0" w:space="0" w:color="auto"/>
      </w:divBdr>
    </w:div>
    <w:div w:id="121578019">
      <w:bodyDiv w:val="1"/>
      <w:marLeft w:val="0"/>
      <w:marRight w:val="0"/>
      <w:marTop w:val="0"/>
      <w:marBottom w:val="0"/>
      <w:divBdr>
        <w:top w:val="none" w:sz="0" w:space="0" w:color="auto"/>
        <w:left w:val="none" w:sz="0" w:space="0" w:color="auto"/>
        <w:bottom w:val="none" w:sz="0" w:space="0" w:color="auto"/>
        <w:right w:val="none" w:sz="0" w:space="0" w:color="auto"/>
      </w:divBdr>
    </w:div>
    <w:div w:id="193927991">
      <w:bodyDiv w:val="1"/>
      <w:marLeft w:val="0"/>
      <w:marRight w:val="0"/>
      <w:marTop w:val="0"/>
      <w:marBottom w:val="0"/>
      <w:divBdr>
        <w:top w:val="none" w:sz="0" w:space="0" w:color="auto"/>
        <w:left w:val="none" w:sz="0" w:space="0" w:color="auto"/>
        <w:bottom w:val="none" w:sz="0" w:space="0" w:color="auto"/>
        <w:right w:val="none" w:sz="0" w:space="0" w:color="auto"/>
      </w:divBdr>
    </w:div>
    <w:div w:id="208499929">
      <w:bodyDiv w:val="1"/>
      <w:marLeft w:val="0"/>
      <w:marRight w:val="0"/>
      <w:marTop w:val="0"/>
      <w:marBottom w:val="0"/>
      <w:divBdr>
        <w:top w:val="none" w:sz="0" w:space="0" w:color="auto"/>
        <w:left w:val="none" w:sz="0" w:space="0" w:color="auto"/>
        <w:bottom w:val="none" w:sz="0" w:space="0" w:color="auto"/>
        <w:right w:val="none" w:sz="0" w:space="0" w:color="auto"/>
      </w:divBdr>
    </w:div>
    <w:div w:id="252590809">
      <w:bodyDiv w:val="1"/>
      <w:marLeft w:val="0"/>
      <w:marRight w:val="0"/>
      <w:marTop w:val="0"/>
      <w:marBottom w:val="0"/>
      <w:divBdr>
        <w:top w:val="none" w:sz="0" w:space="0" w:color="auto"/>
        <w:left w:val="none" w:sz="0" w:space="0" w:color="auto"/>
        <w:bottom w:val="none" w:sz="0" w:space="0" w:color="auto"/>
        <w:right w:val="none" w:sz="0" w:space="0" w:color="auto"/>
      </w:divBdr>
    </w:div>
    <w:div w:id="317684709">
      <w:bodyDiv w:val="1"/>
      <w:marLeft w:val="0"/>
      <w:marRight w:val="0"/>
      <w:marTop w:val="0"/>
      <w:marBottom w:val="0"/>
      <w:divBdr>
        <w:top w:val="none" w:sz="0" w:space="0" w:color="auto"/>
        <w:left w:val="none" w:sz="0" w:space="0" w:color="auto"/>
        <w:bottom w:val="none" w:sz="0" w:space="0" w:color="auto"/>
        <w:right w:val="none" w:sz="0" w:space="0" w:color="auto"/>
      </w:divBdr>
    </w:div>
    <w:div w:id="351494259">
      <w:bodyDiv w:val="1"/>
      <w:marLeft w:val="0"/>
      <w:marRight w:val="0"/>
      <w:marTop w:val="0"/>
      <w:marBottom w:val="0"/>
      <w:divBdr>
        <w:top w:val="none" w:sz="0" w:space="0" w:color="auto"/>
        <w:left w:val="none" w:sz="0" w:space="0" w:color="auto"/>
        <w:bottom w:val="none" w:sz="0" w:space="0" w:color="auto"/>
        <w:right w:val="none" w:sz="0" w:space="0" w:color="auto"/>
      </w:divBdr>
    </w:div>
    <w:div w:id="380444398">
      <w:bodyDiv w:val="1"/>
      <w:marLeft w:val="0"/>
      <w:marRight w:val="0"/>
      <w:marTop w:val="0"/>
      <w:marBottom w:val="0"/>
      <w:divBdr>
        <w:top w:val="none" w:sz="0" w:space="0" w:color="auto"/>
        <w:left w:val="none" w:sz="0" w:space="0" w:color="auto"/>
        <w:bottom w:val="none" w:sz="0" w:space="0" w:color="auto"/>
        <w:right w:val="none" w:sz="0" w:space="0" w:color="auto"/>
      </w:divBdr>
    </w:div>
    <w:div w:id="513494312">
      <w:bodyDiv w:val="1"/>
      <w:marLeft w:val="0"/>
      <w:marRight w:val="0"/>
      <w:marTop w:val="0"/>
      <w:marBottom w:val="0"/>
      <w:divBdr>
        <w:top w:val="none" w:sz="0" w:space="0" w:color="auto"/>
        <w:left w:val="none" w:sz="0" w:space="0" w:color="auto"/>
        <w:bottom w:val="none" w:sz="0" w:space="0" w:color="auto"/>
        <w:right w:val="none" w:sz="0" w:space="0" w:color="auto"/>
      </w:divBdr>
    </w:div>
    <w:div w:id="526064656">
      <w:bodyDiv w:val="1"/>
      <w:marLeft w:val="0"/>
      <w:marRight w:val="0"/>
      <w:marTop w:val="0"/>
      <w:marBottom w:val="0"/>
      <w:divBdr>
        <w:top w:val="none" w:sz="0" w:space="0" w:color="auto"/>
        <w:left w:val="none" w:sz="0" w:space="0" w:color="auto"/>
        <w:bottom w:val="none" w:sz="0" w:space="0" w:color="auto"/>
        <w:right w:val="none" w:sz="0" w:space="0" w:color="auto"/>
      </w:divBdr>
    </w:div>
    <w:div w:id="621615955">
      <w:bodyDiv w:val="1"/>
      <w:marLeft w:val="0"/>
      <w:marRight w:val="0"/>
      <w:marTop w:val="0"/>
      <w:marBottom w:val="0"/>
      <w:divBdr>
        <w:top w:val="none" w:sz="0" w:space="0" w:color="auto"/>
        <w:left w:val="none" w:sz="0" w:space="0" w:color="auto"/>
        <w:bottom w:val="none" w:sz="0" w:space="0" w:color="auto"/>
        <w:right w:val="none" w:sz="0" w:space="0" w:color="auto"/>
      </w:divBdr>
    </w:div>
    <w:div w:id="912157426">
      <w:bodyDiv w:val="1"/>
      <w:marLeft w:val="0"/>
      <w:marRight w:val="0"/>
      <w:marTop w:val="0"/>
      <w:marBottom w:val="0"/>
      <w:divBdr>
        <w:top w:val="none" w:sz="0" w:space="0" w:color="auto"/>
        <w:left w:val="none" w:sz="0" w:space="0" w:color="auto"/>
        <w:bottom w:val="none" w:sz="0" w:space="0" w:color="auto"/>
        <w:right w:val="none" w:sz="0" w:space="0" w:color="auto"/>
      </w:divBdr>
    </w:div>
    <w:div w:id="936408062">
      <w:bodyDiv w:val="1"/>
      <w:marLeft w:val="0"/>
      <w:marRight w:val="0"/>
      <w:marTop w:val="0"/>
      <w:marBottom w:val="0"/>
      <w:divBdr>
        <w:top w:val="none" w:sz="0" w:space="0" w:color="auto"/>
        <w:left w:val="none" w:sz="0" w:space="0" w:color="auto"/>
        <w:bottom w:val="none" w:sz="0" w:space="0" w:color="auto"/>
        <w:right w:val="none" w:sz="0" w:space="0" w:color="auto"/>
      </w:divBdr>
    </w:div>
    <w:div w:id="992641018">
      <w:bodyDiv w:val="1"/>
      <w:marLeft w:val="0"/>
      <w:marRight w:val="0"/>
      <w:marTop w:val="0"/>
      <w:marBottom w:val="0"/>
      <w:divBdr>
        <w:top w:val="none" w:sz="0" w:space="0" w:color="auto"/>
        <w:left w:val="none" w:sz="0" w:space="0" w:color="auto"/>
        <w:bottom w:val="none" w:sz="0" w:space="0" w:color="auto"/>
        <w:right w:val="none" w:sz="0" w:space="0" w:color="auto"/>
      </w:divBdr>
    </w:div>
    <w:div w:id="1048534173">
      <w:bodyDiv w:val="1"/>
      <w:marLeft w:val="0"/>
      <w:marRight w:val="0"/>
      <w:marTop w:val="0"/>
      <w:marBottom w:val="0"/>
      <w:divBdr>
        <w:top w:val="none" w:sz="0" w:space="0" w:color="auto"/>
        <w:left w:val="none" w:sz="0" w:space="0" w:color="auto"/>
        <w:bottom w:val="none" w:sz="0" w:space="0" w:color="auto"/>
        <w:right w:val="none" w:sz="0" w:space="0" w:color="auto"/>
      </w:divBdr>
    </w:div>
    <w:div w:id="1182433120">
      <w:bodyDiv w:val="1"/>
      <w:marLeft w:val="0"/>
      <w:marRight w:val="0"/>
      <w:marTop w:val="0"/>
      <w:marBottom w:val="0"/>
      <w:divBdr>
        <w:top w:val="none" w:sz="0" w:space="0" w:color="auto"/>
        <w:left w:val="none" w:sz="0" w:space="0" w:color="auto"/>
        <w:bottom w:val="none" w:sz="0" w:space="0" w:color="auto"/>
        <w:right w:val="none" w:sz="0" w:space="0" w:color="auto"/>
      </w:divBdr>
    </w:div>
    <w:div w:id="1269120249">
      <w:bodyDiv w:val="1"/>
      <w:marLeft w:val="0"/>
      <w:marRight w:val="0"/>
      <w:marTop w:val="0"/>
      <w:marBottom w:val="0"/>
      <w:divBdr>
        <w:top w:val="none" w:sz="0" w:space="0" w:color="auto"/>
        <w:left w:val="none" w:sz="0" w:space="0" w:color="auto"/>
        <w:bottom w:val="none" w:sz="0" w:space="0" w:color="auto"/>
        <w:right w:val="none" w:sz="0" w:space="0" w:color="auto"/>
      </w:divBdr>
    </w:div>
    <w:div w:id="1486895956">
      <w:bodyDiv w:val="1"/>
      <w:marLeft w:val="0"/>
      <w:marRight w:val="0"/>
      <w:marTop w:val="0"/>
      <w:marBottom w:val="0"/>
      <w:divBdr>
        <w:top w:val="none" w:sz="0" w:space="0" w:color="auto"/>
        <w:left w:val="none" w:sz="0" w:space="0" w:color="auto"/>
        <w:bottom w:val="none" w:sz="0" w:space="0" w:color="auto"/>
        <w:right w:val="none" w:sz="0" w:space="0" w:color="auto"/>
      </w:divBdr>
    </w:div>
    <w:div w:id="1546722237">
      <w:bodyDiv w:val="1"/>
      <w:marLeft w:val="0"/>
      <w:marRight w:val="0"/>
      <w:marTop w:val="0"/>
      <w:marBottom w:val="0"/>
      <w:divBdr>
        <w:top w:val="none" w:sz="0" w:space="0" w:color="auto"/>
        <w:left w:val="none" w:sz="0" w:space="0" w:color="auto"/>
        <w:bottom w:val="none" w:sz="0" w:space="0" w:color="auto"/>
        <w:right w:val="none" w:sz="0" w:space="0" w:color="auto"/>
      </w:divBdr>
    </w:div>
    <w:div w:id="1602034501">
      <w:bodyDiv w:val="1"/>
      <w:marLeft w:val="0"/>
      <w:marRight w:val="0"/>
      <w:marTop w:val="0"/>
      <w:marBottom w:val="0"/>
      <w:divBdr>
        <w:top w:val="none" w:sz="0" w:space="0" w:color="auto"/>
        <w:left w:val="none" w:sz="0" w:space="0" w:color="auto"/>
        <w:bottom w:val="none" w:sz="0" w:space="0" w:color="auto"/>
        <w:right w:val="none" w:sz="0" w:space="0" w:color="auto"/>
      </w:divBdr>
    </w:div>
    <w:div w:id="1743062265">
      <w:bodyDiv w:val="1"/>
      <w:marLeft w:val="0"/>
      <w:marRight w:val="0"/>
      <w:marTop w:val="0"/>
      <w:marBottom w:val="0"/>
      <w:divBdr>
        <w:top w:val="none" w:sz="0" w:space="0" w:color="auto"/>
        <w:left w:val="none" w:sz="0" w:space="0" w:color="auto"/>
        <w:bottom w:val="none" w:sz="0" w:space="0" w:color="auto"/>
        <w:right w:val="none" w:sz="0" w:space="0" w:color="auto"/>
      </w:divBdr>
    </w:div>
    <w:div w:id="1832865969">
      <w:bodyDiv w:val="1"/>
      <w:marLeft w:val="0"/>
      <w:marRight w:val="0"/>
      <w:marTop w:val="0"/>
      <w:marBottom w:val="0"/>
      <w:divBdr>
        <w:top w:val="none" w:sz="0" w:space="0" w:color="auto"/>
        <w:left w:val="none" w:sz="0" w:space="0" w:color="auto"/>
        <w:bottom w:val="none" w:sz="0" w:space="0" w:color="auto"/>
        <w:right w:val="none" w:sz="0" w:space="0" w:color="auto"/>
      </w:divBdr>
    </w:div>
    <w:div w:id="1916426497">
      <w:bodyDiv w:val="1"/>
      <w:marLeft w:val="0"/>
      <w:marRight w:val="0"/>
      <w:marTop w:val="0"/>
      <w:marBottom w:val="0"/>
      <w:divBdr>
        <w:top w:val="none" w:sz="0" w:space="0" w:color="auto"/>
        <w:left w:val="none" w:sz="0" w:space="0" w:color="auto"/>
        <w:bottom w:val="none" w:sz="0" w:space="0" w:color="auto"/>
        <w:right w:val="none" w:sz="0" w:space="0" w:color="auto"/>
      </w:divBdr>
    </w:div>
    <w:div w:id="1964380915">
      <w:bodyDiv w:val="1"/>
      <w:marLeft w:val="0"/>
      <w:marRight w:val="0"/>
      <w:marTop w:val="0"/>
      <w:marBottom w:val="0"/>
      <w:divBdr>
        <w:top w:val="none" w:sz="0" w:space="0" w:color="auto"/>
        <w:left w:val="none" w:sz="0" w:space="0" w:color="auto"/>
        <w:bottom w:val="none" w:sz="0" w:space="0" w:color="auto"/>
        <w:right w:val="none" w:sz="0" w:space="0" w:color="auto"/>
      </w:divBdr>
    </w:div>
    <w:div w:id="19967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methodology/dataquality/references/1902216-UNNQAFManual-WEB.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ilo.org\gva\DGREPORTS\V-DGREPORTS\STATISTICS\COMMON\C3%20Sources\Labour%20Force%20Surveys\MOLDOVA\NLFS\Analysis\2018\RESULTS\Moldova%20key%20level%20estimates%202016-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d.ilo.org\gva\DGREPORTS\V-DGREPORTS\STATISTICS\COMMON\C3%20Sources\Labour%20Force%20Surveys\MOLDOVA\NLFS\Analysis\2018\RESULTS\Kieran%20tables%20and%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d.ilo.org\gva\DGREPORTS\V-DGREPORTS\STATISTICS\COMMON\C3%20Sources\Labour%20Force%20Surveys\MOLDOVA\NLFS\Analysis\2018\RESULTS\Kieran%20tables%20and%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oleObject" Target="file:///\\ad.ilo.org\gva\DGREPORTS\V-DGREPORTS\STATISTICS\COMMON\C3%20Sources\Labour%20Force%20Surveys\MOLDOVA\NLFS\Analysis\2018\RESULTS\Kieran%20tables%20and%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d.ilo.org\gva\DGREPORTS\V-DGREPORTS\STATISTICS\COMMON\C3%20Sources\Labour%20Force%20Surveys\MOLDOVA\NLFS\Analysis\2018\RESULTS\Kieran%20tables%20and%20graphs.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d.ilo.org\gva\DGREPORTS\V-DGREPORTS\STATISTICS\COMMON\C3%20Sources\Labour%20Force%20Surveys\MOLDOVA\NLFS\Analysis\2018\RESULTS\Kieran%20table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 Number of persons employed,</a:t>
            </a:r>
            <a:endParaRPr lang="ro-RO"/>
          </a:p>
          <a:p>
            <a:pPr>
              <a:defRPr sz="1400" b="0" i="0" u="none" strike="noStrike" kern="1200" spc="0" baseline="0">
                <a:solidFill>
                  <a:schemeClr val="tx1">
                    <a:lumMod val="65000"/>
                    <a:lumOff val="35000"/>
                  </a:schemeClr>
                </a:solidFill>
                <a:latin typeface="+mn-lt"/>
                <a:ea typeface="+mn-ea"/>
                <a:cs typeface="+mn-cs"/>
              </a:defRPr>
            </a:pPr>
            <a:r>
              <a:rPr lang="en-GB"/>
              <a:t>Q1 2017 to Q3 2019</a:t>
            </a:r>
          </a:p>
        </c:rich>
      </c:tx>
      <c:spPr>
        <a:noFill/>
        <a:ln>
          <a:noFill/>
        </a:ln>
        <a:effectLst/>
      </c:spPr>
    </c:title>
    <c:plotArea>
      <c:layout/>
      <c:barChart>
        <c:barDir val="col"/>
        <c:grouping val="clustered"/>
        <c:ser>
          <c:idx val="0"/>
          <c:order val="0"/>
          <c:tx>
            <c:strRef>
              <c:f>'Kieran Graphs'!$A$37</c:f>
              <c:strCache>
                <c:ptCount val="1"/>
                <c:pt idx="0">
                  <c:v>Employed - Old series (old standards and stable population)</c:v>
                </c:pt>
              </c:strCache>
            </c:strRef>
          </c:tx>
          <c:spPr>
            <a:solidFill>
              <a:schemeClr val="accent1"/>
            </a:solidFill>
            <a:ln>
              <a:noFill/>
            </a:ln>
            <a:effectLst/>
          </c:spPr>
          <c:dPt>
            <c:idx val="0"/>
            <c:spPr>
              <a:solidFill>
                <a:schemeClr val="accent2"/>
              </a:solidFill>
              <a:ln>
                <a:noFill/>
              </a:ln>
              <a:effectLst/>
            </c:spPr>
            <c:extLst xmlns:c16r2="http://schemas.microsoft.com/office/drawing/2015/06/chart">
              <c:ext xmlns:c16="http://schemas.microsoft.com/office/drawing/2014/chart" uri="{C3380CC4-5D6E-409C-BE32-E72D297353CC}">
                <c16:uniqueId val="{00000001-D878-4A4D-A05F-89C52583BCF4}"/>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D878-4A4D-A05F-89C52583BCF4}"/>
              </c:ext>
            </c:extLst>
          </c:dPt>
          <c:dPt>
            <c:idx val="2"/>
            <c:spPr>
              <a:solidFill>
                <a:schemeClr val="accent2"/>
              </a:solidFill>
              <a:ln>
                <a:noFill/>
              </a:ln>
              <a:effectLst/>
            </c:spPr>
            <c:extLst xmlns:c16r2="http://schemas.microsoft.com/office/drawing/2015/06/chart">
              <c:ext xmlns:c16="http://schemas.microsoft.com/office/drawing/2014/chart" uri="{C3380CC4-5D6E-409C-BE32-E72D297353CC}">
                <c16:uniqueId val="{00000005-D878-4A4D-A05F-89C52583BCF4}"/>
              </c:ext>
            </c:extLst>
          </c:dPt>
          <c:dPt>
            <c:idx val="3"/>
            <c:spPr>
              <a:solidFill>
                <a:schemeClr val="accent2"/>
              </a:solidFill>
              <a:ln>
                <a:noFill/>
              </a:ln>
              <a:effectLst/>
            </c:spPr>
            <c:extLst xmlns:c16r2="http://schemas.microsoft.com/office/drawing/2015/06/chart">
              <c:ext xmlns:c16="http://schemas.microsoft.com/office/drawing/2014/chart" uri="{C3380CC4-5D6E-409C-BE32-E72D297353CC}">
                <c16:uniqueId val="{00000007-D878-4A4D-A05F-89C52583BCF4}"/>
              </c:ext>
            </c:extLst>
          </c:dPt>
          <c:dPt>
            <c:idx val="8"/>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9-D878-4A4D-A05F-89C52583BCF4}"/>
              </c:ext>
            </c:extLst>
          </c:dPt>
          <c:dPt>
            <c:idx val="9"/>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B-D878-4A4D-A05F-89C52583BCF4}"/>
              </c:ext>
            </c:extLst>
          </c:dPt>
          <c:dPt>
            <c:idx val="1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D-D878-4A4D-A05F-89C52583BCF4}"/>
              </c:ext>
            </c:extLst>
          </c:dPt>
          <c:cat>
            <c:strRef>
              <c:f>'Kieran Graphs'!$B$36:$L$36</c:f>
              <c:strCache>
                <c:ptCount val="11"/>
                <c:pt idx="0">
                  <c:v>Q117</c:v>
                </c:pt>
                <c:pt idx="1">
                  <c:v>Q217</c:v>
                </c:pt>
                <c:pt idx="2">
                  <c:v>Q317</c:v>
                </c:pt>
                <c:pt idx="3">
                  <c:v>Q417</c:v>
                </c:pt>
                <c:pt idx="4">
                  <c:v>Q118</c:v>
                </c:pt>
                <c:pt idx="5">
                  <c:v>Q218</c:v>
                </c:pt>
                <c:pt idx="6">
                  <c:v>Q318</c:v>
                </c:pt>
                <c:pt idx="7">
                  <c:v>Q418</c:v>
                </c:pt>
                <c:pt idx="8">
                  <c:v>Q119</c:v>
                </c:pt>
                <c:pt idx="9">
                  <c:v>Q219</c:v>
                </c:pt>
                <c:pt idx="10">
                  <c:v>Q319</c:v>
                </c:pt>
              </c:strCache>
            </c:strRef>
          </c:cat>
          <c:val>
            <c:numRef>
              <c:f>'Kieran Graphs'!$B$37:$L$37</c:f>
              <c:numCache>
                <c:formatCode>General</c:formatCode>
                <c:ptCount val="11"/>
                <c:pt idx="0">
                  <c:v>1125.7</c:v>
                </c:pt>
                <c:pt idx="1">
                  <c:v>1270.3</c:v>
                </c:pt>
                <c:pt idx="2">
                  <c:v>1264.0999999999999</c:v>
                </c:pt>
                <c:pt idx="3">
                  <c:v>1169.9000000000001</c:v>
                </c:pt>
                <c:pt idx="4">
                  <c:v>737.33138117980957</c:v>
                </c:pt>
                <c:pt idx="5">
                  <c:v>827.77043752288921</c:v>
                </c:pt>
                <c:pt idx="6">
                  <c:v>849.76656666564941</c:v>
                </c:pt>
                <c:pt idx="7">
                  <c:v>761.4104341430666</c:v>
                </c:pt>
                <c:pt idx="8" formatCode="#,##0.0">
                  <c:v>829.03233744812053</c:v>
                </c:pt>
                <c:pt idx="9" formatCode="#,##0.0">
                  <c:v>901.05580638885499</c:v>
                </c:pt>
                <c:pt idx="10">
                  <c:v>909.8</c:v>
                </c:pt>
              </c:numCache>
            </c:numRef>
          </c:val>
          <c:extLst xmlns:c16r2="http://schemas.microsoft.com/office/drawing/2015/06/chart">
            <c:ext xmlns:c16="http://schemas.microsoft.com/office/drawing/2014/chart" uri="{C3380CC4-5D6E-409C-BE32-E72D297353CC}">
              <c16:uniqueId val="{0000000E-D878-4A4D-A05F-89C52583BCF4}"/>
            </c:ext>
          </c:extLst>
        </c:ser>
        <c:gapWidth val="219"/>
        <c:overlap val="-27"/>
        <c:axId val="62283136"/>
        <c:axId val="62997632"/>
      </c:barChart>
      <c:catAx>
        <c:axId val="62283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997632"/>
        <c:crosses val="autoZero"/>
        <c:auto val="1"/>
        <c:lblAlgn val="ctr"/>
        <c:lblOffset val="100"/>
      </c:catAx>
      <c:valAx>
        <c:axId val="629976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Persons 000's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2831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Figure 11 - Subsistence</a:t>
            </a:r>
            <a:r>
              <a:rPr lang="en-GB" sz="1200" baseline="0"/>
              <a:t> foodstuff producers by labour force status (persons 000s), Moldova, 2018</a:t>
            </a:r>
            <a:endParaRPr lang="en-GB" sz="1200"/>
          </a:p>
        </c:rich>
      </c:tx>
      <c:spPr>
        <a:noFill/>
        <a:ln>
          <a:noFill/>
        </a:ln>
        <a:effectLst/>
      </c:spPr>
    </c:title>
    <c:plotArea>
      <c:layout/>
      <c:pieChart>
        <c:varyColors val="1"/>
        <c:ser>
          <c:idx val="0"/>
          <c:order val="0"/>
          <c:tx>
            <c:strRef>
              <c:f>'New Indicators'!$G$30</c:f>
              <c:strCache>
                <c:ptCount val="1"/>
                <c:pt idx="0">
                  <c:v>Total</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9F9-4B02-87B4-80B85BE3CC5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9F9-4B02-87B4-80B85BE3CC5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9F9-4B02-87B4-80B85BE3CC5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9F9-4B02-87B4-80B85BE3CC5D}"/>
              </c:ext>
            </c:extLst>
          </c:dPt>
          <c:dLbls>
            <c:dLbl>
              <c:idx val="2"/>
              <c:layout>
                <c:manualLayout>
                  <c:x val="2.4397679876697592E-3"/>
                  <c:y val="7.2507545204087809E-2"/>
                </c:manualLayout>
              </c:layout>
              <c:dLblPos val="bestFit"/>
              <c:showVal val="1"/>
              <c:showCat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9F9-4B02-87B4-80B85BE3CC5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mn-lt"/>
                    <a:ea typeface="+mn-ea"/>
                    <a:cs typeface="+mn-cs"/>
                  </a:defRPr>
                </a:pPr>
                <a:endParaRPr lang="ru-RU"/>
              </a:p>
            </c:txPr>
            <c:dLblPos val="outEnd"/>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'New Indicators'!$F$31:$F$34</c:f>
              <c:strCache>
                <c:ptCount val="4"/>
                <c:pt idx="0">
                  <c:v>Employed</c:v>
                </c:pt>
                <c:pt idx="1">
                  <c:v>Unemployed</c:v>
                </c:pt>
                <c:pt idx="2">
                  <c:v>Potenital labour Force</c:v>
                </c:pt>
                <c:pt idx="3">
                  <c:v>Others outside the labour force</c:v>
                </c:pt>
              </c:strCache>
            </c:strRef>
          </c:cat>
          <c:val>
            <c:numRef>
              <c:f>'New Indicators'!$G$31:$G$34</c:f>
              <c:numCache>
                <c:formatCode>0.0</c:formatCode>
                <c:ptCount val="4"/>
                <c:pt idx="0">
                  <c:v>220.00615656934662</c:v>
                </c:pt>
                <c:pt idx="1">
                  <c:v>15.609827902168036</c:v>
                </c:pt>
                <c:pt idx="2">
                  <c:v>16.640411019325239</c:v>
                </c:pt>
                <c:pt idx="3">
                  <c:v>642.32220510020727</c:v>
                </c:pt>
              </c:numCache>
            </c:numRef>
          </c:val>
          <c:extLst xmlns:c16r2="http://schemas.microsoft.com/office/drawing/2015/06/chart">
            <c:ext xmlns:c16="http://schemas.microsoft.com/office/drawing/2014/chart" uri="{C3380CC4-5D6E-409C-BE32-E72D297353CC}">
              <c16:uniqueId val="{00000008-F9F9-4B02-87B4-80B85BE3CC5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12 - Labour force status of subsistence foodstuff producers, by sex, Moldova, 2018 </a:t>
            </a:r>
          </a:p>
        </c:rich>
      </c:tx>
      <c:spPr>
        <a:noFill/>
        <a:ln>
          <a:noFill/>
        </a:ln>
        <a:effectLst/>
      </c:spPr>
    </c:title>
    <c:plotArea>
      <c:layout>
        <c:manualLayout>
          <c:layoutTarget val="inner"/>
          <c:xMode val="edge"/>
          <c:yMode val="edge"/>
          <c:x val="9.6420935187979645E-2"/>
          <c:y val="0.22058011731600372"/>
          <c:w val="0.85420633396435197"/>
          <c:h val="0.49826603381763046"/>
        </c:manualLayout>
      </c:layout>
      <c:barChart>
        <c:barDir val="bar"/>
        <c:grouping val="stacked"/>
        <c:ser>
          <c:idx val="0"/>
          <c:order val="0"/>
          <c:tx>
            <c:strRef>
              <c:f>'New Indicators'!$F$31</c:f>
              <c:strCache>
                <c:ptCount val="1"/>
                <c:pt idx="0">
                  <c:v>Employed</c:v>
                </c:pt>
              </c:strCache>
            </c:strRef>
          </c:tx>
          <c:spPr>
            <a:solidFill>
              <a:schemeClr val="accent1"/>
            </a:solidFill>
            <a:ln>
              <a:noFill/>
            </a:ln>
            <a:effectLst/>
          </c:spP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Val val="1"/>
            <c:showSer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'New Indicators'!$H$30:$I$30</c:f>
              <c:strCache>
                <c:ptCount val="2"/>
                <c:pt idx="0">
                  <c:v>Male</c:v>
                </c:pt>
                <c:pt idx="1">
                  <c:v>Female</c:v>
                </c:pt>
              </c:strCache>
            </c:strRef>
          </c:cat>
          <c:val>
            <c:numRef>
              <c:f>'New Indicators'!$H$31:$I$31</c:f>
              <c:numCache>
                <c:formatCode>0.0</c:formatCode>
                <c:ptCount val="2"/>
                <c:pt idx="0">
                  <c:v>109.61705209687351</c:v>
                </c:pt>
                <c:pt idx="1">
                  <c:v>110.38910447247325</c:v>
                </c:pt>
              </c:numCache>
            </c:numRef>
          </c:val>
          <c:extLst xmlns:c16r2="http://schemas.microsoft.com/office/drawing/2015/06/chart">
            <c:ext xmlns:c16="http://schemas.microsoft.com/office/drawing/2014/chart" uri="{C3380CC4-5D6E-409C-BE32-E72D297353CC}">
              <c16:uniqueId val="{00000000-ADF6-4823-B146-8AE01C7420C2}"/>
            </c:ext>
          </c:extLst>
        </c:ser>
        <c:ser>
          <c:idx val="1"/>
          <c:order val="1"/>
          <c:tx>
            <c:strRef>
              <c:f>'New Indicators'!$F$32</c:f>
              <c:strCache>
                <c:ptCount val="1"/>
                <c:pt idx="0">
                  <c:v>Unemployed</c:v>
                </c:pt>
              </c:strCache>
            </c:strRef>
          </c:tx>
          <c:spPr>
            <a:solidFill>
              <a:schemeClr val="accent2"/>
            </a:solidFill>
            <a:ln>
              <a:noFill/>
            </a:ln>
            <a:effectLst/>
          </c:spPr>
          <c:dLbls>
            <c:dLbl>
              <c:idx val="0"/>
              <c:layout>
                <c:manualLayout>
                  <c:x val="-9.0592334494773524E-2"/>
                  <c:y val="0.11806613883654692"/>
                </c:manualLayout>
              </c:layout>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DF6-4823-B146-8AE01C7420C2}"/>
                </c:ext>
              </c:extLst>
            </c:dLbl>
            <c:dLbl>
              <c:idx val="1"/>
              <c:layout>
                <c:manualLayout>
                  <c:x val="-4.4134727061556384E-2"/>
                  <c:y val="0.10585240033621447"/>
                </c:manualLayout>
              </c:layout>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DF6-4823-B146-8AE01C7420C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Val val="1"/>
            <c:showSer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'New Indicators'!$H$30:$I$30</c:f>
              <c:strCache>
                <c:ptCount val="2"/>
                <c:pt idx="0">
                  <c:v>Male</c:v>
                </c:pt>
                <c:pt idx="1">
                  <c:v>Female</c:v>
                </c:pt>
              </c:strCache>
            </c:strRef>
          </c:cat>
          <c:val>
            <c:numRef>
              <c:f>'New Indicators'!$H$32:$I$32</c:f>
              <c:numCache>
                <c:formatCode>0.0</c:formatCode>
                <c:ptCount val="2"/>
                <c:pt idx="0">
                  <c:v>11.228234866634011</c:v>
                </c:pt>
                <c:pt idx="1">
                  <c:v>4.3815930355340322</c:v>
                </c:pt>
              </c:numCache>
            </c:numRef>
          </c:val>
          <c:extLst xmlns:c16r2="http://schemas.microsoft.com/office/drawing/2015/06/chart">
            <c:ext xmlns:c16="http://schemas.microsoft.com/office/drawing/2014/chart" uri="{C3380CC4-5D6E-409C-BE32-E72D297353CC}">
              <c16:uniqueId val="{00000003-ADF6-4823-B146-8AE01C7420C2}"/>
            </c:ext>
          </c:extLst>
        </c:ser>
        <c:ser>
          <c:idx val="2"/>
          <c:order val="2"/>
          <c:tx>
            <c:strRef>
              <c:f>'New Indicators'!$F$33</c:f>
              <c:strCache>
                <c:ptCount val="1"/>
                <c:pt idx="0">
                  <c:v>Potenital labour Force</c:v>
                </c:pt>
              </c:strCache>
            </c:strRef>
          </c:tx>
          <c:spPr>
            <a:solidFill>
              <a:schemeClr val="accent3"/>
            </a:solidFill>
            <a:ln>
              <a:noFill/>
            </a:ln>
            <a:effectLst/>
          </c:spPr>
          <c:dLbls>
            <c:dLbl>
              <c:idx val="0"/>
              <c:layout>
                <c:manualLayout>
                  <c:x val="6.7363530778164898E-2"/>
                  <c:y val="0.10585240033621426"/>
                </c:manualLayout>
              </c:layout>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DF6-4823-B146-8AE01C7420C2}"/>
                </c:ext>
              </c:extLst>
            </c:dLbl>
            <c:dLbl>
              <c:idx val="1"/>
              <c:layout>
                <c:manualLayout>
                  <c:x val="4.1811846689895418E-2"/>
                  <c:y val="-0.11806613883654692"/>
                </c:manualLayout>
              </c:layout>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DF6-4823-B146-8AE01C7420C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Val val="1"/>
            <c:showSer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'New Indicators'!$H$30:$I$30</c:f>
              <c:strCache>
                <c:ptCount val="2"/>
                <c:pt idx="0">
                  <c:v>Male</c:v>
                </c:pt>
                <c:pt idx="1">
                  <c:v>Female</c:v>
                </c:pt>
              </c:strCache>
            </c:strRef>
          </c:cat>
          <c:val>
            <c:numRef>
              <c:f>'New Indicators'!$H$33:$I$33</c:f>
              <c:numCache>
                <c:formatCode>0.0</c:formatCode>
                <c:ptCount val="2"/>
                <c:pt idx="0">
                  <c:v>11.152521584182979</c:v>
                </c:pt>
                <c:pt idx="1">
                  <c:v>5.4878894351422804</c:v>
                </c:pt>
              </c:numCache>
            </c:numRef>
          </c:val>
          <c:extLst xmlns:c16r2="http://schemas.microsoft.com/office/drawing/2015/06/chart">
            <c:ext xmlns:c16="http://schemas.microsoft.com/office/drawing/2014/chart" uri="{C3380CC4-5D6E-409C-BE32-E72D297353CC}">
              <c16:uniqueId val="{00000006-ADF6-4823-B146-8AE01C7420C2}"/>
            </c:ext>
          </c:extLst>
        </c:ser>
        <c:ser>
          <c:idx val="3"/>
          <c:order val="3"/>
          <c:tx>
            <c:strRef>
              <c:f>'New Indicators'!$F$34</c:f>
              <c:strCache>
                <c:ptCount val="1"/>
                <c:pt idx="0">
                  <c:v>Others outside the labour force</c:v>
                </c:pt>
              </c:strCache>
            </c:strRef>
          </c:tx>
          <c:spPr>
            <a:solidFill>
              <a:schemeClr val="accent4"/>
            </a:solidFill>
            <a:ln>
              <a:noFill/>
            </a:ln>
            <a:effectLst/>
          </c:spP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Val val="1"/>
            <c:showSer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'New Indicators'!$H$30:$I$30</c:f>
              <c:strCache>
                <c:ptCount val="2"/>
                <c:pt idx="0">
                  <c:v>Male</c:v>
                </c:pt>
                <c:pt idx="1">
                  <c:v>Female</c:v>
                </c:pt>
              </c:strCache>
            </c:strRef>
          </c:cat>
          <c:val>
            <c:numRef>
              <c:f>'New Indicators'!$H$34:$I$34</c:f>
              <c:numCache>
                <c:formatCode>0.0</c:formatCode>
                <c:ptCount val="2"/>
                <c:pt idx="0">
                  <c:v>268.05125261098146</c:v>
                </c:pt>
                <c:pt idx="1">
                  <c:v>374.27095248922694</c:v>
                </c:pt>
              </c:numCache>
            </c:numRef>
          </c:val>
          <c:extLst xmlns:c16r2="http://schemas.microsoft.com/office/drawing/2015/06/chart">
            <c:ext xmlns:c16="http://schemas.microsoft.com/office/drawing/2014/chart" uri="{C3380CC4-5D6E-409C-BE32-E72D297353CC}">
              <c16:uniqueId val="{00000007-ADF6-4823-B146-8AE01C7420C2}"/>
            </c:ext>
          </c:extLst>
        </c:ser>
        <c:overlap val="100"/>
        <c:axId val="132745856"/>
        <c:axId val="132961792"/>
      </c:barChart>
      <c:catAx>
        <c:axId val="1327458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961792"/>
        <c:crosses val="autoZero"/>
        <c:auto val="1"/>
        <c:lblAlgn val="ctr"/>
        <c:lblOffset val="100"/>
      </c:catAx>
      <c:valAx>
        <c:axId val="13296179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Persons 000s</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745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3 - Employment estimates from NLFS</a:t>
            </a:r>
            <a:r>
              <a:rPr lang="en-GB" baseline="0"/>
              <a:t> Q1 2018 to Q4 2018</a:t>
            </a:r>
            <a:endParaRPr lang="en-GB"/>
          </a:p>
        </c:rich>
      </c:tx>
      <c:spPr>
        <a:noFill/>
        <a:ln>
          <a:noFill/>
        </a:ln>
        <a:effectLst/>
      </c:spPr>
    </c:title>
    <c:plotArea>
      <c:layout/>
      <c:lineChart>
        <c:grouping val="standard"/>
        <c:ser>
          <c:idx val="0"/>
          <c:order val="0"/>
          <c:tx>
            <c:strRef>
              <c:f>LEVELS_1!$B$40</c:f>
              <c:strCache>
                <c:ptCount val="1"/>
                <c:pt idx="0">
                  <c:v>Old series</c:v>
                </c:pt>
              </c:strCache>
            </c:strRef>
          </c:tx>
          <c:spPr>
            <a:ln w="28575" cap="rnd">
              <a:solidFill>
                <a:schemeClr val="accent1"/>
              </a:solidFill>
              <a:round/>
            </a:ln>
            <a:effectLst/>
          </c:spPr>
          <c:marker>
            <c:symbol val="none"/>
          </c:marker>
          <c:cat>
            <c:strRef>
              <c:f>LEVELS_1!$C$39:$F$39</c:f>
              <c:strCache>
                <c:ptCount val="4"/>
                <c:pt idx="0">
                  <c:v>Q1 2018</c:v>
                </c:pt>
                <c:pt idx="1">
                  <c:v>Q2 2018</c:v>
                </c:pt>
                <c:pt idx="2">
                  <c:v>Q3 2018</c:v>
                </c:pt>
                <c:pt idx="3">
                  <c:v>Q4 2018</c:v>
                </c:pt>
              </c:strCache>
            </c:strRef>
          </c:cat>
          <c:val>
            <c:numRef>
              <c:f>LEVELS_1!$C$40:$F$40</c:f>
              <c:numCache>
                <c:formatCode>#,##0.0</c:formatCode>
                <c:ptCount val="4"/>
                <c:pt idx="0">
                  <c:v>1124.6485949020387</c:v>
                </c:pt>
                <c:pt idx="1">
                  <c:v>1343.3589137420711</c:v>
                </c:pt>
                <c:pt idx="2">
                  <c:v>1377.3196132278442</c:v>
                </c:pt>
                <c:pt idx="3">
                  <c:v>1163.6264309616088</c:v>
                </c:pt>
              </c:numCache>
            </c:numRef>
          </c:val>
          <c:extLst xmlns:c16r2="http://schemas.microsoft.com/office/drawing/2015/06/chart">
            <c:ext xmlns:c16="http://schemas.microsoft.com/office/drawing/2014/chart" uri="{C3380CC4-5D6E-409C-BE32-E72D297353CC}">
              <c16:uniqueId val="{00000000-D99B-4EB1-8381-BA9CD9B0C9BE}"/>
            </c:ext>
          </c:extLst>
        </c:ser>
        <c:ser>
          <c:idx val="1"/>
          <c:order val="1"/>
          <c:tx>
            <c:strRef>
              <c:f>LEVELS_1!$B$41</c:f>
              <c:strCache>
                <c:ptCount val="1"/>
                <c:pt idx="0">
                  <c:v>New standards, old population definition and estimates</c:v>
                </c:pt>
              </c:strCache>
            </c:strRef>
          </c:tx>
          <c:spPr>
            <a:ln w="28575" cap="rnd">
              <a:solidFill>
                <a:schemeClr val="accent2"/>
              </a:solidFill>
              <a:round/>
            </a:ln>
            <a:effectLst/>
          </c:spPr>
          <c:marker>
            <c:symbol val="none"/>
          </c:marker>
          <c:cat>
            <c:strRef>
              <c:f>LEVELS_1!$C$39:$F$39</c:f>
              <c:strCache>
                <c:ptCount val="4"/>
                <c:pt idx="0">
                  <c:v>Q1 2018</c:v>
                </c:pt>
                <c:pt idx="1">
                  <c:v>Q2 2018</c:v>
                </c:pt>
                <c:pt idx="2">
                  <c:v>Q3 2018</c:v>
                </c:pt>
                <c:pt idx="3">
                  <c:v>Q4 2018</c:v>
                </c:pt>
              </c:strCache>
            </c:strRef>
          </c:cat>
          <c:val>
            <c:numRef>
              <c:f>LEVELS_1!$C$41:$F$41</c:f>
              <c:numCache>
                <c:formatCode>#,##0.0</c:formatCode>
                <c:ptCount val="4"/>
                <c:pt idx="0">
                  <c:v>963.55644040679931</c:v>
                </c:pt>
                <c:pt idx="1">
                  <c:v>1069.5911078338606</c:v>
                </c:pt>
                <c:pt idx="2">
                  <c:v>1093.8774879379262</c:v>
                </c:pt>
                <c:pt idx="3">
                  <c:v>986.0415993499754</c:v>
                </c:pt>
              </c:numCache>
            </c:numRef>
          </c:val>
          <c:extLst xmlns:c16r2="http://schemas.microsoft.com/office/drawing/2015/06/chart">
            <c:ext xmlns:c16="http://schemas.microsoft.com/office/drawing/2014/chart" uri="{C3380CC4-5D6E-409C-BE32-E72D297353CC}">
              <c16:uniqueId val="{00000001-D99B-4EB1-8381-BA9CD9B0C9BE}"/>
            </c:ext>
          </c:extLst>
        </c:ser>
        <c:marker val="1"/>
        <c:axId val="65010688"/>
        <c:axId val="65644032"/>
      </c:lineChart>
      <c:catAx>
        <c:axId val="650106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644032"/>
        <c:crosses val="autoZero"/>
        <c:auto val="1"/>
        <c:lblAlgn val="ctr"/>
        <c:lblOffset val="100"/>
      </c:catAx>
      <c:valAx>
        <c:axId val="65644032"/>
        <c:scaling>
          <c:orientation val="minMax"/>
          <c:min val="8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Persons 000's</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010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Unemployment!$A$26</c:f>
              <c:strCache>
                <c:ptCount val="1"/>
                <c:pt idx="0">
                  <c:v>Figure 4 - Number of persons unemployed (000's), 2018, old and new standards</c:v>
                </c:pt>
              </c:strCache>
            </c:strRef>
          </c:tx>
          <c:spPr>
            <a:solidFill>
              <a:schemeClr val="accent1"/>
            </a:solidFill>
            <a:ln>
              <a:noFill/>
            </a:ln>
            <a:effectLst/>
          </c:spPr>
          <c:dPt>
            <c:idx val="0"/>
            <c:spPr>
              <a:solidFill>
                <a:srgbClr val="FF0000"/>
              </a:solidFill>
              <a:ln>
                <a:noFill/>
              </a:ln>
              <a:effectLst/>
            </c:spPr>
            <c:extLst xmlns:c16r2="http://schemas.microsoft.com/office/drawing/2015/06/chart">
              <c:ext xmlns:c16="http://schemas.microsoft.com/office/drawing/2014/chart" uri="{C3380CC4-5D6E-409C-BE32-E72D297353CC}">
                <c16:uniqueId val="{00000001-9846-4283-964E-F25A4647F513}"/>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Unemployment!$B$25:$C$25</c:f>
              <c:strCache>
                <c:ptCount val="2"/>
                <c:pt idx="0">
                  <c:v>Old standards, stable population</c:v>
                </c:pt>
                <c:pt idx="1">
                  <c:v>New standards, stable population</c:v>
                </c:pt>
              </c:strCache>
            </c:strRef>
          </c:cat>
          <c:val>
            <c:numRef>
              <c:f>Unemployment!$B$26:$C$26</c:f>
              <c:numCache>
                <c:formatCode>0.0</c:formatCode>
                <c:ptCount val="2"/>
                <c:pt idx="0">
                  <c:v>38.442600551605167</c:v>
                </c:pt>
                <c:pt idx="1">
                  <c:v>44.024437501907308</c:v>
                </c:pt>
              </c:numCache>
            </c:numRef>
          </c:val>
          <c:extLst xmlns:c16r2="http://schemas.microsoft.com/office/drawing/2015/06/chart">
            <c:ext xmlns:c16="http://schemas.microsoft.com/office/drawing/2014/chart" uri="{C3380CC4-5D6E-409C-BE32-E72D297353CC}">
              <c16:uniqueId val="{00000002-9846-4283-964E-F25A4647F513}"/>
            </c:ext>
          </c:extLst>
        </c:ser>
        <c:gapWidth val="219"/>
        <c:overlap val="-27"/>
        <c:axId val="68584960"/>
        <c:axId val="68586880"/>
      </c:barChart>
      <c:catAx>
        <c:axId val="68584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68586880"/>
        <c:crosses val="autoZero"/>
        <c:auto val="1"/>
        <c:lblAlgn val="ctr"/>
        <c:lblOffset val="100"/>
      </c:catAx>
      <c:valAx>
        <c:axId val="68586880"/>
        <c:scaling>
          <c:orientation val="minMax"/>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000's</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5849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'Unemployment rate'!$A$23</c:f>
              <c:strCache>
                <c:ptCount val="1"/>
                <c:pt idx="0">
                  <c:v>Figure 5 - Unemployment rate (%), 2018, old and new standards</c:v>
                </c:pt>
              </c:strCache>
            </c:strRef>
          </c:tx>
          <c:spPr>
            <a:solidFill>
              <a:schemeClr val="accent1"/>
            </a:solidFill>
            <a:ln>
              <a:noFill/>
            </a:ln>
            <a:effectLst/>
          </c:spPr>
          <c:dPt>
            <c:idx val="0"/>
            <c:spPr>
              <a:solidFill>
                <a:srgbClr val="FF0000"/>
              </a:solidFill>
              <a:ln>
                <a:noFill/>
              </a:ln>
              <a:effectLst/>
            </c:spPr>
            <c:extLst xmlns:c16r2="http://schemas.microsoft.com/office/drawing/2015/06/chart">
              <c:ext xmlns:c16="http://schemas.microsoft.com/office/drawing/2014/chart" uri="{C3380CC4-5D6E-409C-BE32-E72D297353CC}">
                <c16:uniqueId val="{00000001-B2B3-48BD-8EC4-45F7D2EAB6B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'Unemployment rate'!$B$22:$C$22</c:f>
              <c:strCache>
                <c:ptCount val="2"/>
                <c:pt idx="0">
                  <c:v>Old standards, stable population</c:v>
                </c:pt>
                <c:pt idx="1">
                  <c:v>New standards, stable population</c:v>
                </c:pt>
              </c:strCache>
            </c:strRef>
          </c:cat>
          <c:val>
            <c:numRef>
              <c:f>'Unemployment rate'!$B$23:$C$23</c:f>
              <c:numCache>
                <c:formatCode>0.0</c:formatCode>
                <c:ptCount val="2"/>
                <c:pt idx="0">
                  <c:v>3.0211018773983707</c:v>
                </c:pt>
                <c:pt idx="1">
                  <c:v>4.1251299467577773</c:v>
                </c:pt>
              </c:numCache>
            </c:numRef>
          </c:val>
          <c:extLst xmlns:c16r2="http://schemas.microsoft.com/office/drawing/2015/06/chart">
            <c:ext xmlns:c16="http://schemas.microsoft.com/office/drawing/2014/chart" uri="{C3380CC4-5D6E-409C-BE32-E72D297353CC}">
              <c16:uniqueId val="{00000002-B2B3-48BD-8EC4-45F7D2EAB6B6}"/>
            </c:ext>
          </c:extLst>
        </c:ser>
        <c:gapWidth val="219"/>
        <c:overlap val="-27"/>
        <c:axId val="82932096"/>
        <c:axId val="82934784"/>
      </c:barChart>
      <c:catAx>
        <c:axId val="82932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82934784"/>
        <c:crosses val="autoZero"/>
        <c:auto val="1"/>
        <c:lblAlgn val="ctr"/>
        <c:lblOffset val="100"/>
      </c:catAx>
      <c:valAx>
        <c:axId val="829347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9320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6 - </a:t>
            </a:r>
            <a:r>
              <a:rPr lang="en-US"/>
              <a:t>Change</a:t>
            </a:r>
            <a:r>
              <a:rPr lang="en-US" baseline="0"/>
              <a:t> in estimates of number of persons employed (%) due to change in population concept and estimates, by population subgroup, 2018</a:t>
            </a:r>
            <a:endParaRPr lang="en-US"/>
          </a:p>
        </c:rich>
      </c:tx>
      <c:spPr>
        <a:noFill/>
        <a:ln>
          <a:noFill/>
        </a:ln>
        <a:effectLst/>
      </c:spPr>
    </c:title>
    <c:plotArea>
      <c:layout/>
      <c:barChart>
        <c:barDir val="bar"/>
        <c:grouping val="clustered"/>
        <c:ser>
          <c:idx val="0"/>
          <c:order val="0"/>
          <c:tx>
            <c:strRef>
              <c:f>'Employment breakdowns'!$B$51</c:f>
              <c:strCache>
                <c:ptCount val="1"/>
                <c:pt idx="0">
                  <c:v>% of old estimate</c:v>
                </c:pt>
              </c:strCache>
            </c:strRef>
          </c:tx>
          <c:spPr>
            <a:solidFill>
              <a:schemeClr val="accent1"/>
            </a:solidFill>
            <a:ln>
              <a:noFill/>
            </a:ln>
            <a:effectLst/>
          </c:spPr>
          <c:dPt>
            <c:idx val="0"/>
            <c:spPr>
              <a:solidFill>
                <a:srgbClr val="00B050"/>
              </a:solidFill>
              <a:ln>
                <a:noFill/>
              </a:ln>
              <a:effectLst/>
            </c:spPr>
            <c:extLst xmlns:c16r2="http://schemas.microsoft.com/office/drawing/2015/06/chart">
              <c:ext xmlns:c16="http://schemas.microsoft.com/office/drawing/2014/chart" uri="{C3380CC4-5D6E-409C-BE32-E72D297353CC}">
                <c16:uniqueId val="{00000001-92CC-45EB-8D95-D4A619BAB49B}"/>
              </c:ext>
            </c:extLst>
          </c:dPt>
          <c:dPt>
            <c:idx val="1"/>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3-92CC-45EB-8D95-D4A619BAB49B}"/>
              </c:ext>
            </c:extLst>
          </c:dPt>
          <c:dPt>
            <c:idx val="2"/>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5-92CC-45EB-8D95-D4A619BAB49B}"/>
              </c:ext>
            </c:extLst>
          </c:dPt>
          <c:dPt>
            <c:idx val="3"/>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92CC-45EB-8D95-D4A619BAB49B}"/>
              </c:ext>
            </c:extLst>
          </c:dPt>
          <c:dPt>
            <c:idx val="4"/>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9-92CC-45EB-8D95-D4A619BAB49B}"/>
              </c:ext>
            </c:extLst>
          </c:dPt>
          <c:dPt>
            <c:idx val="9"/>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B-92CC-45EB-8D95-D4A619BAB49B}"/>
              </c:ext>
            </c:extLst>
          </c:dPt>
          <c:dPt>
            <c:idx val="1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D-92CC-45EB-8D95-D4A619BAB49B}"/>
              </c:ext>
            </c:extLst>
          </c:dPt>
          <c:dPt>
            <c:idx val="11"/>
            <c:spPr>
              <a:solidFill>
                <a:srgbClr val="FF0000"/>
              </a:solidFill>
              <a:ln>
                <a:noFill/>
              </a:ln>
              <a:effectLst/>
            </c:spPr>
            <c:extLst xmlns:c16r2="http://schemas.microsoft.com/office/drawing/2015/06/chart">
              <c:ext xmlns:c16="http://schemas.microsoft.com/office/drawing/2014/chart" uri="{C3380CC4-5D6E-409C-BE32-E72D297353CC}">
                <c16:uniqueId val="{0000000F-92CC-45EB-8D95-D4A619BAB49B}"/>
              </c:ext>
            </c:extLst>
          </c:dPt>
          <c:dPt>
            <c:idx val="12"/>
            <c:spPr>
              <a:solidFill>
                <a:srgbClr val="FF0000"/>
              </a:solidFill>
              <a:ln>
                <a:noFill/>
              </a:ln>
              <a:effectLst/>
            </c:spPr>
            <c:extLst xmlns:c16r2="http://schemas.microsoft.com/office/drawing/2015/06/chart">
              <c:ext xmlns:c16="http://schemas.microsoft.com/office/drawing/2014/chart" uri="{C3380CC4-5D6E-409C-BE32-E72D297353CC}">
                <c16:uniqueId val="{00000011-92CC-45EB-8D95-D4A619BAB49B}"/>
              </c:ext>
            </c:extLst>
          </c:dPt>
          <c:dPt>
            <c:idx val="13"/>
            <c:spPr>
              <a:solidFill>
                <a:srgbClr val="FF0000"/>
              </a:solidFill>
              <a:ln>
                <a:noFill/>
              </a:ln>
              <a:effectLst/>
            </c:spPr>
            <c:extLst xmlns:c16r2="http://schemas.microsoft.com/office/drawing/2015/06/chart">
              <c:ext xmlns:c16="http://schemas.microsoft.com/office/drawing/2014/chart" uri="{C3380CC4-5D6E-409C-BE32-E72D297353CC}">
                <c16:uniqueId val="{00000013-92CC-45EB-8D95-D4A619BAB49B}"/>
              </c:ext>
            </c:extLst>
          </c:dPt>
          <c:dPt>
            <c:idx val="14"/>
            <c:spPr>
              <a:solidFill>
                <a:srgbClr val="FF0000"/>
              </a:solidFill>
              <a:ln>
                <a:noFill/>
              </a:ln>
              <a:effectLst/>
            </c:spPr>
            <c:extLst xmlns:c16r2="http://schemas.microsoft.com/office/drawing/2015/06/chart">
              <c:ext xmlns:c16="http://schemas.microsoft.com/office/drawing/2014/chart" uri="{C3380CC4-5D6E-409C-BE32-E72D297353CC}">
                <c16:uniqueId val="{00000015-92CC-45EB-8D95-D4A619BAB49B}"/>
              </c:ext>
            </c:extLst>
          </c:dPt>
          <c:cat>
            <c:strRef>
              <c:f>'Employment breakdowns'!$A$52:$A$66</c:f>
              <c:strCache>
                <c:ptCount val="15"/>
                <c:pt idx="0">
                  <c:v>Total</c:v>
                </c:pt>
                <c:pt idx="1">
                  <c:v>Agriculture, forestry, fishing</c:v>
                </c:pt>
                <c:pt idx="2">
                  <c:v>Other sectors</c:v>
                </c:pt>
                <c:pt idx="3">
                  <c:v>Males</c:v>
                </c:pt>
                <c:pt idx="4">
                  <c:v>Females</c:v>
                </c:pt>
                <c:pt idx="5">
                  <c:v>15-24 years</c:v>
                </c:pt>
                <c:pt idx="6">
                  <c:v>25-54 years</c:v>
                </c:pt>
                <c:pt idx="7">
                  <c:v>55-64 years</c:v>
                </c:pt>
                <c:pt idx="8">
                  <c:v>65+</c:v>
                </c:pt>
                <c:pt idx="9">
                  <c:v>Urban</c:v>
                </c:pt>
                <c:pt idx="10">
                  <c:v>Rural</c:v>
                </c:pt>
                <c:pt idx="11">
                  <c:v>North</c:v>
                </c:pt>
                <c:pt idx="12">
                  <c:v>Centre</c:v>
                </c:pt>
                <c:pt idx="13">
                  <c:v>South</c:v>
                </c:pt>
                <c:pt idx="14">
                  <c:v>Municipality Chisinau</c:v>
                </c:pt>
              </c:strCache>
            </c:strRef>
          </c:cat>
          <c:val>
            <c:numRef>
              <c:f>'Employment breakdowns'!$B$52:$B$66</c:f>
              <c:numCache>
                <c:formatCode>0</c:formatCode>
                <c:ptCount val="15"/>
                <c:pt idx="0">
                  <c:v>-18.702265975040071</c:v>
                </c:pt>
                <c:pt idx="1">
                  <c:v>-7.4951822308058276</c:v>
                </c:pt>
                <c:pt idx="2">
                  <c:v>-25.033232885907235</c:v>
                </c:pt>
                <c:pt idx="3">
                  <c:v>-17.792764305336284</c:v>
                </c:pt>
                <c:pt idx="4">
                  <c:v>-19.599628359269527</c:v>
                </c:pt>
                <c:pt idx="5">
                  <c:v>-18.638641177751229</c:v>
                </c:pt>
                <c:pt idx="6">
                  <c:v>-21.794961944244235</c:v>
                </c:pt>
                <c:pt idx="7">
                  <c:v>-11.3700461827145</c:v>
                </c:pt>
                <c:pt idx="8">
                  <c:v>-2.224478295468364</c:v>
                </c:pt>
                <c:pt idx="9">
                  <c:v>-28.217861524291337</c:v>
                </c:pt>
                <c:pt idx="10">
                  <c:v>-11.582276325746527</c:v>
                </c:pt>
                <c:pt idx="11">
                  <c:v>-20.248105093990763</c:v>
                </c:pt>
                <c:pt idx="12">
                  <c:v>-13.399855035261107</c:v>
                </c:pt>
                <c:pt idx="13">
                  <c:v>-19.930799666171417</c:v>
                </c:pt>
                <c:pt idx="14">
                  <c:v>-22.093708928646535</c:v>
                </c:pt>
              </c:numCache>
            </c:numRef>
          </c:val>
          <c:extLst xmlns:c16r2="http://schemas.microsoft.com/office/drawing/2015/06/chart">
            <c:ext xmlns:c16="http://schemas.microsoft.com/office/drawing/2014/chart" uri="{C3380CC4-5D6E-409C-BE32-E72D297353CC}">
              <c16:uniqueId val="{00000016-92CC-45EB-8D95-D4A619BAB49B}"/>
            </c:ext>
          </c:extLst>
        </c:ser>
        <c:gapWidth val="219"/>
        <c:axId val="87811584"/>
        <c:axId val="89152512"/>
      </c:barChart>
      <c:catAx>
        <c:axId val="87811584"/>
        <c:scaling>
          <c:orientation val="maxMin"/>
        </c:scaling>
        <c:axPos val="l"/>
        <c:numFmt formatCode="General" sourceLinked="1"/>
        <c:maj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200" b="0" i="0" u="none" strike="noStrike" kern="1200" baseline="0">
                <a:solidFill>
                  <a:schemeClr val="tx1">
                    <a:lumMod val="65000"/>
                    <a:lumOff val="35000"/>
                  </a:schemeClr>
                </a:solidFill>
                <a:latin typeface="+mn-lt"/>
                <a:ea typeface="+mn-ea"/>
                <a:cs typeface="+mn-cs"/>
              </a:defRPr>
            </a:pPr>
            <a:endParaRPr lang="ru-RU"/>
          </a:p>
        </c:txPr>
        <c:crossAx val="89152512"/>
        <c:crosses val="autoZero"/>
        <c:auto val="1"/>
        <c:lblAlgn val="ctr"/>
        <c:lblOffset val="100"/>
      </c:catAx>
      <c:valAx>
        <c:axId val="89152512"/>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8115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7 - Impact of changes on employment to population ratios,</a:t>
            </a:r>
            <a:r>
              <a:rPr lang="en-US" baseline="0"/>
              <a:t> 2018</a:t>
            </a:r>
            <a:endParaRPr lang="en-US"/>
          </a:p>
        </c:rich>
      </c:tx>
      <c:spPr>
        <a:noFill/>
        <a:ln>
          <a:noFill/>
        </a:ln>
        <a:effectLst/>
      </c:spPr>
    </c:title>
    <c:plotArea>
      <c:layout/>
      <c:barChart>
        <c:barDir val="col"/>
        <c:grouping val="clustered"/>
        <c:ser>
          <c:idx val="0"/>
          <c:order val="0"/>
          <c:tx>
            <c:strRef>
              <c:f>'Emp to Pop Ratio'!$B$45</c:f>
              <c:strCache>
                <c:ptCount val="1"/>
                <c:pt idx="0">
                  <c:v>Change in standards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 to Pop Ratio'!$A$46:$A$48</c:f>
              <c:strCache>
                <c:ptCount val="3"/>
                <c:pt idx="0">
                  <c:v>Total</c:v>
                </c:pt>
                <c:pt idx="1">
                  <c:v>Urban</c:v>
                </c:pt>
                <c:pt idx="2">
                  <c:v>Rural</c:v>
                </c:pt>
              </c:strCache>
            </c:strRef>
          </c:cat>
          <c:val>
            <c:numRef>
              <c:f>'Emp to Pop Ratio'!$B$46:$B$48</c:f>
              <c:numCache>
                <c:formatCode>#,##0.0</c:formatCode>
                <c:ptCount val="3"/>
                <c:pt idx="0">
                  <c:v>-7.5086544912117814</c:v>
                </c:pt>
                <c:pt idx="1">
                  <c:v>-1.001957500240664</c:v>
                </c:pt>
                <c:pt idx="2">
                  <c:v>-12.601865066090419</c:v>
                </c:pt>
              </c:numCache>
            </c:numRef>
          </c:val>
          <c:extLst xmlns:c16r2="http://schemas.microsoft.com/office/drawing/2015/06/chart">
            <c:ext xmlns:c16="http://schemas.microsoft.com/office/drawing/2014/chart" uri="{C3380CC4-5D6E-409C-BE32-E72D297353CC}">
              <c16:uniqueId val="{00000000-301A-470D-833E-6718BF95AB47}"/>
            </c:ext>
          </c:extLst>
        </c:ser>
        <c:ser>
          <c:idx val="1"/>
          <c:order val="1"/>
          <c:tx>
            <c:strRef>
              <c:f>'Emp to Pop Ratio'!$C$45</c:f>
              <c:strCache>
                <c:ptCount val="1"/>
                <c:pt idx="0">
                  <c:v>Change in population definition and estimates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 to Pop Ratio'!$A$46:$A$48</c:f>
              <c:strCache>
                <c:ptCount val="3"/>
                <c:pt idx="0">
                  <c:v>Total</c:v>
                </c:pt>
                <c:pt idx="1">
                  <c:v>Urban</c:v>
                </c:pt>
                <c:pt idx="2">
                  <c:v>Rural</c:v>
                </c:pt>
              </c:strCache>
            </c:strRef>
          </c:cat>
          <c:val>
            <c:numRef>
              <c:f>'Emp to Pop Ratio'!$C$46:$C$48</c:f>
              <c:numCache>
                <c:formatCode>#,##0.0</c:formatCode>
                <c:ptCount val="3"/>
                <c:pt idx="0">
                  <c:v>1.2936180021857169</c:v>
                </c:pt>
                <c:pt idx="1">
                  <c:v>2.1377696265345207</c:v>
                </c:pt>
                <c:pt idx="2">
                  <c:v>1.400414691837528</c:v>
                </c:pt>
              </c:numCache>
            </c:numRef>
          </c:val>
          <c:extLst xmlns:c16r2="http://schemas.microsoft.com/office/drawing/2015/06/chart">
            <c:ext xmlns:c16="http://schemas.microsoft.com/office/drawing/2014/chart" uri="{C3380CC4-5D6E-409C-BE32-E72D297353CC}">
              <c16:uniqueId val="{00000001-301A-470D-833E-6718BF95AB47}"/>
            </c:ext>
          </c:extLst>
        </c:ser>
        <c:ser>
          <c:idx val="2"/>
          <c:order val="2"/>
          <c:tx>
            <c:strRef>
              <c:f>'Emp to Pop Ratio'!$D$45</c:f>
              <c:strCache>
                <c:ptCount val="1"/>
                <c:pt idx="0">
                  <c:v>Overall change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 to Pop Ratio'!$A$46:$A$48</c:f>
              <c:strCache>
                <c:ptCount val="3"/>
                <c:pt idx="0">
                  <c:v>Total</c:v>
                </c:pt>
                <c:pt idx="1">
                  <c:v>Urban</c:v>
                </c:pt>
                <c:pt idx="2">
                  <c:v>Rural</c:v>
                </c:pt>
              </c:strCache>
            </c:strRef>
          </c:cat>
          <c:val>
            <c:numRef>
              <c:f>'Emp to Pop Ratio'!$D$46:$D$48</c:f>
              <c:numCache>
                <c:formatCode>#,##0.0</c:formatCode>
                <c:ptCount val="3"/>
                <c:pt idx="0">
                  <c:v>-6.2150364890260619</c:v>
                </c:pt>
                <c:pt idx="1">
                  <c:v>1.1358121262938585</c:v>
                </c:pt>
                <c:pt idx="2">
                  <c:v>-11.201450374252904</c:v>
                </c:pt>
              </c:numCache>
            </c:numRef>
          </c:val>
          <c:extLst xmlns:c16r2="http://schemas.microsoft.com/office/drawing/2015/06/chart">
            <c:ext xmlns:c16="http://schemas.microsoft.com/office/drawing/2014/chart" uri="{C3380CC4-5D6E-409C-BE32-E72D297353CC}">
              <c16:uniqueId val="{00000002-301A-470D-833E-6718BF95AB47}"/>
            </c:ext>
          </c:extLst>
        </c:ser>
        <c:gapWidth val="219"/>
        <c:overlap val="-27"/>
        <c:axId val="103837696"/>
        <c:axId val="103870848"/>
      </c:barChart>
      <c:catAx>
        <c:axId val="10383769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103870848"/>
        <c:crosses val="autoZero"/>
        <c:auto val="1"/>
        <c:lblAlgn val="ctr"/>
        <c:lblOffset val="100"/>
      </c:catAx>
      <c:valAx>
        <c:axId val="1038708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points change in employment to population ratio</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837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Unemployment!$B$63</c:f>
              <c:strCache>
                <c:ptCount val="1"/>
                <c:pt idx="0">
                  <c:v>Figure 8 - Change in estimate of number of persons unemployed (%)</c:v>
                </c:pt>
              </c:strCache>
            </c:strRef>
          </c:tx>
          <c:spPr>
            <a:solidFill>
              <a:schemeClr val="accent1"/>
            </a:solidFill>
            <a:ln>
              <a:noFill/>
            </a:ln>
            <a:effectLst/>
          </c:spPr>
          <c:dPt>
            <c:idx val="0"/>
            <c:spPr>
              <a:solidFill>
                <a:srgbClr val="00B050"/>
              </a:solidFill>
              <a:ln>
                <a:noFill/>
              </a:ln>
              <a:effectLst/>
            </c:spPr>
            <c:extLst xmlns:c16r2="http://schemas.microsoft.com/office/drawing/2015/06/chart">
              <c:ext xmlns:c16="http://schemas.microsoft.com/office/drawing/2014/chart" uri="{C3380CC4-5D6E-409C-BE32-E72D297353CC}">
                <c16:uniqueId val="{00000001-B4F7-4571-BD4A-2620F457B219}"/>
              </c:ext>
            </c:extLst>
          </c:dPt>
          <c:dPt>
            <c:idx val="1"/>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3-B4F7-4571-BD4A-2620F457B219}"/>
              </c:ext>
            </c:extLst>
          </c:dPt>
          <c:dPt>
            <c:idx val="2"/>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5-B4F7-4571-BD4A-2620F457B219}"/>
              </c:ext>
            </c:extLst>
          </c:dPt>
          <c:cat>
            <c:strRef>
              <c:f>Unemployment!$A$64:$A$75</c:f>
              <c:strCache>
                <c:ptCount val="12"/>
                <c:pt idx="0">
                  <c:v>Total</c:v>
                </c:pt>
                <c:pt idx="1">
                  <c:v>Male</c:v>
                </c:pt>
                <c:pt idx="2">
                  <c:v>Female</c:v>
                </c:pt>
                <c:pt idx="3">
                  <c:v>15-24 years</c:v>
                </c:pt>
                <c:pt idx="4">
                  <c:v>25-54 years</c:v>
                </c:pt>
                <c:pt idx="5">
                  <c:v>55-64 years</c:v>
                </c:pt>
                <c:pt idx="6">
                  <c:v>Urban</c:v>
                </c:pt>
                <c:pt idx="7">
                  <c:v>Rural</c:v>
                </c:pt>
                <c:pt idx="8">
                  <c:v>North</c:v>
                </c:pt>
                <c:pt idx="9">
                  <c:v>Centre</c:v>
                </c:pt>
                <c:pt idx="10">
                  <c:v>South</c:v>
                </c:pt>
                <c:pt idx="11">
                  <c:v>Municipality Chisinau</c:v>
                </c:pt>
              </c:strCache>
            </c:strRef>
          </c:cat>
          <c:val>
            <c:numRef>
              <c:f>Unemployment!$B$64:$B$75</c:f>
              <c:numCache>
                <c:formatCode>0</c:formatCode>
                <c:ptCount val="12"/>
                <c:pt idx="0">
                  <c:v>-25.923924770407741</c:v>
                </c:pt>
                <c:pt idx="1">
                  <c:v>-25.236637699802024</c:v>
                </c:pt>
                <c:pt idx="2">
                  <c:v>-26.888359897671979</c:v>
                </c:pt>
                <c:pt idx="3">
                  <c:v>-27.847913556513337</c:v>
                </c:pt>
                <c:pt idx="4">
                  <c:v>-26.766473663309142</c:v>
                </c:pt>
                <c:pt idx="5">
                  <c:v>-18.953239190821947</c:v>
                </c:pt>
                <c:pt idx="6">
                  <c:v>-26.591177549844307</c:v>
                </c:pt>
                <c:pt idx="7">
                  <c:v>-24.650142862242326</c:v>
                </c:pt>
                <c:pt idx="8">
                  <c:v>-26.67622370965303</c:v>
                </c:pt>
                <c:pt idx="9">
                  <c:v>-37.389692917107375</c:v>
                </c:pt>
                <c:pt idx="10">
                  <c:v>-30.881146302574212</c:v>
                </c:pt>
                <c:pt idx="11">
                  <c:v>-20.095373387558329</c:v>
                </c:pt>
              </c:numCache>
            </c:numRef>
          </c:val>
          <c:extLst xmlns:c16r2="http://schemas.microsoft.com/office/drawing/2015/06/chart">
            <c:ext xmlns:c16="http://schemas.microsoft.com/office/drawing/2014/chart" uri="{C3380CC4-5D6E-409C-BE32-E72D297353CC}">
              <c16:uniqueId val="{0000000C-B4F7-4571-BD4A-2620F457B219}"/>
            </c:ext>
          </c:extLst>
        </c:ser>
        <c:gapWidth val="219"/>
        <c:axId val="104123008"/>
        <c:axId val="104206720"/>
      </c:barChart>
      <c:catAx>
        <c:axId val="104123008"/>
        <c:scaling>
          <c:orientation val="maxMin"/>
        </c:scaling>
        <c:axPos val="l"/>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04206720"/>
        <c:crosses val="autoZero"/>
        <c:auto val="1"/>
        <c:lblAlgn val="ctr"/>
        <c:lblOffset val="100"/>
      </c:catAx>
      <c:valAx>
        <c:axId val="104206720"/>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1230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9 - Unemployment rates (%) by zone, 2018, old series and new series</a:t>
            </a:r>
          </a:p>
        </c:rich>
      </c:tx>
      <c:spPr>
        <a:noFill/>
        <a:ln>
          <a:noFill/>
        </a:ln>
        <a:effectLst/>
      </c:spPr>
    </c:title>
    <c:plotArea>
      <c:layout/>
      <c:barChart>
        <c:barDir val="col"/>
        <c:grouping val="clustered"/>
        <c:ser>
          <c:idx val="0"/>
          <c:order val="0"/>
          <c:tx>
            <c:strRef>
              <c:f>'Unemployment rate'!$B$60</c:f>
              <c:strCache>
                <c:ptCount val="1"/>
                <c:pt idx="0">
                  <c:v>Old series</c:v>
                </c:pt>
              </c:strCache>
            </c:strRef>
          </c:tx>
          <c:spPr>
            <a:solidFill>
              <a:schemeClr val="accent1"/>
            </a:solidFill>
            <a:ln>
              <a:noFill/>
            </a:ln>
            <a:effectLst/>
          </c:spPr>
          <c:cat>
            <c:strRef>
              <c:f>'Unemployment rate'!$A$61:$A$65</c:f>
              <c:strCache>
                <c:ptCount val="5"/>
                <c:pt idx="0">
                  <c:v>Total</c:v>
                </c:pt>
                <c:pt idx="1">
                  <c:v>North</c:v>
                </c:pt>
                <c:pt idx="2">
                  <c:v>Centre</c:v>
                </c:pt>
                <c:pt idx="3">
                  <c:v>South</c:v>
                </c:pt>
                <c:pt idx="4">
                  <c:v>Municipality Chisinau</c:v>
                </c:pt>
              </c:strCache>
            </c:strRef>
          </c:cat>
          <c:val>
            <c:numRef>
              <c:f>'Unemployment rate'!$B$61:$B$65</c:f>
              <c:numCache>
                <c:formatCode>0.0</c:formatCode>
                <c:ptCount val="5"/>
                <c:pt idx="0">
                  <c:v>3.0211018773983707</c:v>
                </c:pt>
                <c:pt idx="1">
                  <c:v>3.2997099886814651</c:v>
                </c:pt>
                <c:pt idx="2">
                  <c:v>1.6294157285300221</c:v>
                </c:pt>
                <c:pt idx="3">
                  <c:v>2.1619400229891106</c:v>
                </c:pt>
                <c:pt idx="4">
                  <c:v>4.819615902609879</c:v>
                </c:pt>
              </c:numCache>
            </c:numRef>
          </c:val>
          <c:extLst xmlns:c16r2="http://schemas.microsoft.com/office/drawing/2015/06/chart">
            <c:ext xmlns:c16="http://schemas.microsoft.com/office/drawing/2014/chart" uri="{C3380CC4-5D6E-409C-BE32-E72D297353CC}">
              <c16:uniqueId val="{00000000-CEA0-4C5D-9D0A-1AF953806FF7}"/>
            </c:ext>
          </c:extLst>
        </c:ser>
        <c:ser>
          <c:idx val="1"/>
          <c:order val="1"/>
          <c:tx>
            <c:strRef>
              <c:f>'Unemployment rate'!$C$60</c:f>
              <c:strCache>
                <c:ptCount val="1"/>
                <c:pt idx="0">
                  <c:v>New standards, old population</c:v>
                </c:pt>
              </c:strCache>
            </c:strRef>
          </c:tx>
          <c:spPr>
            <a:solidFill>
              <a:schemeClr val="accent2"/>
            </a:solidFill>
            <a:ln>
              <a:noFill/>
            </a:ln>
            <a:effectLst/>
          </c:spPr>
          <c:cat>
            <c:strRef>
              <c:f>'Unemployment rate'!$A$61:$A$65</c:f>
              <c:strCache>
                <c:ptCount val="5"/>
                <c:pt idx="0">
                  <c:v>Total</c:v>
                </c:pt>
                <c:pt idx="1">
                  <c:v>North</c:v>
                </c:pt>
                <c:pt idx="2">
                  <c:v>Centre</c:v>
                </c:pt>
                <c:pt idx="3">
                  <c:v>South</c:v>
                </c:pt>
                <c:pt idx="4">
                  <c:v>Municipality Chisinau</c:v>
                </c:pt>
              </c:strCache>
            </c:strRef>
          </c:cat>
          <c:val>
            <c:numRef>
              <c:f>'Unemployment rate'!$C$61:$C$65</c:f>
              <c:numCache>
                <c:formatCode>0.0</c:formatCode>
                <c:ptCount val="5"/>
                <c:pt idx="0">
                  <c:v>4.1251299467577773</c:v>
                </c:pt>
                <c:pt idx="1">
                  <c:v>4.392636870263452</c:v>
                </c:pt>
                <c:pt idx="2">
                  <c:v>3.4905513403204749</c:v>
                </c:pt>
                <c:pt idx="3">
                  <c:v>3.1862667042308677</c:v>
                </c:pt>
                <c:pt idx="4">
                  <c:v>4.8759073676540758</c:v>
                </c:pt>
              </c:numCache>
            </c:numRef>
          </c:val>
          <c:extLst xmlns:c16r2="http://schemas.microsoft.com/office/drawing/2015/06/chart">
            <c:ext xmlns:c16="http://schemas.microsoft.com/office/drawing/2014/chart" uri="{C3380CC4-5D6E-409C-BE32-E72D297353CC}">
              <c16:uniqueId val="{00000001-CEA0-4C5D-9D0A-1AF953806FF7}"/>
            </c:ext>
          </c:extLst>
        </c:ser>
        <c:ser>
          <c:idx val="2"/>
          <c:order val="2"/>
          <c:tx>
            <c:strRef>
              <c:f>'Unemployment rate'!$D$60</c:f>
              <c:strCache>
                <c:ptCount val="1"/>
                <c:pt idx="0">
                  <c:v>New standards new population (new series)</c:v>
                </c:pt>
              </c:strCache>
            </c:strRef>
          </c:tx>
          <c:spPr>
            <a:solidFill>
              <a:schemeClr val="accent3"/>
            </a:solidFill>
            <a:ln>
              <a:noFill/>
            </a:ln>
            <a:effectLst/>
          </c:spPr>
          <c:cat>
            <c:strRef>
              <c:f>'Unemployment rate'!$A$61:$A$65</c:f>
              <c:strCache>
                <c:ptCount val="5"/>
                <c:pt idx="0">
                  <c:v>Total</c:v>
                </c:pt>
                <c:pt idx="1">
                  <c:v>North</c:v>
                </c:pt>
                <c:pt idx="2">
                  <c:v>Centre</c:v>
                </c:pt>
                <c:pt idx="3">
                  <c:v>South</c:v>
                </c:pt>
                <c:pt idx="4">
                  <c:v>Municipality Chisinau</c:v>
                </c:pt>
              </c:strCache>
            </c:strRef>
          </c:cat>
          <c:val>
            <c:numRef>
              <c:f>'Unemployment rate'!$D$61:$D$65</c:f>
              <c:numCache>
                <c:formatCode>#,##0.0</c:formatCode>
                <c:ptCount val="5"/>
                <c:pt idx="0" formatCode="0.0">
                  <c:v>4.1363018163221525</c:v>
                </c:pt>
                <c:pt idx="1">
                  <c:v>4.438500738578794</c:v>
                </c:pt>
                <c:pt idx="2">
                  <c:v>3.3022537790075477</c:v>
                </c:pt>
                <c:pt idx="3">
                  <c:v>3.1886709129600002</c:v>
                </c:pt>
                <c:pt idx="4">
                  <c:v>5.0161040382150315</c:v>
                </c:pt>
              </c:numCache>
            </c:numRef>
          </c:val>
          <c:extLst xmlns:c16r2="http://schemas.microsoft.com/office/drawing/2015/06/chart">
            <c:ext xmlns:c16="http://schemas.microsoft.com/office/drawing/2014/chart" uri="{C3380CC4-5D6E-409C-BE32-E72D297353CC}">
              <c16:uniqueId val="{00000002-CEA0-4C5D-9D0A-1AF953806FF7}"/>
            </c:ext>
          </c:extLst>
        </c:ser>
        <c:gapWidth val="219"/>
        <c:overlap val="-27"/>
        <c:axId val="104378368"/>
        <c:axId val="104380288"/>
      </c:barChart>
      <c:catAx>
        <c:axId val="104378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80288"/>
        <c:crosses val="autoZero"/>
        <c:auto val="1"/>
        <c:lblAlgn val="ctr"/>
        <c:lblOffset val="100"/>
      </c:catAx>
      <c:valAx>
        <c:axId val="1043802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labour force</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78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10 - Estimated number of persons employed, old series and new series, Q4 2015 to Q2 2019</a:t>
            </a:r>
          </a:p>
        </c:rich>
      </c:tx>
      <c:spPr>
        <a:noFill/>
        <a:ln>
          <a:noFill/>
        </a:ln>
        <a:effectLst/>
      </c:spPr>
    </c:title>
    <c:plotArea>
      <c:layout/>
      <c:lineChart>
        <c:grouping val="standard"/>
        <c:ser>
          <c:idx val="0"/>
          <c:order val="0"/>
          <c:tx>
            <c:strRef>
              <c:f>'Impact of new sample'!$A$64</c:f>
              <c:strCache>
                <c:ptCount val="1"/>
                <c:pt idx="0">
                  <c:v>Employment old series</c:v>
                </c:pt>
              </c:strCache>
            </c:strRef>
          </c:tx>
          <c:spPr>
            <a:ln w="28575" cap="rnd">
              <a:solidFill>
                <a:schemeClr val="accent1"/>
              </a:solidFill>
              <a:round/>
            </a:ln>
            <a:effectLst/>
          </c:spPr>
          <c:marker>
            <c:symbol val="none"/>
          </c:marker>
          <c:cat>
            <c:strRef>
              <c:f>'Impact of new sample'!$B$63:$P$63</c:f>
              <c:strCache>
                <c:ptCount val="15"/>
                <c:pt idx="0">
                  <c:v>Q42015</c:v>
                </c:pt>
                <c:pt idx="1">
                  <c:v>Q12016</c:v>
                </c:pt>
                <c:pt idx="2">
                  <c:v>Q22016</c:v>
                </c:pt>
                <c:pt idx="3">
                  <c:v>Q32016</c:v>
                </c:pt>
                <c:pt idx="4">
                  <c:v>Q42016</c:v>
                </c:pt>
                <c:pt idx="5">
                  <c:v>Q12017</c:v>
                </c:pt>
                <c:pt idx="6">
                  <c:v>Q22017</c:v>
                </c:pt>
                <c:pt idx="7">
                  <c:v>Q32017</c:v>
                </c:pt>
                <c:pt idx="8">
                  <c:v>Q42017</c:v>
                </c:pt>
                <c:pt idx="9">
                  <c:v>Q12018</c:v>
                </c:pt>
                <c:pt idx="10">
                  <c:v>Q22018</c:v>
                </c:pt>
                <c:pt idx="11">
                  <c:v>Q32018</c:v>
                </c:pt>
                <c:pt idx="12">
                  <c:v>Q42018</c:v>
                </c:pt>
                <c:pt idx="13">
                  <c:v>Q12019</c:v>
                </c:pt>
                <c:pt idx="14">
                  <c:v>Q22019</c:v>
                </c:pt>
              </c:strCache>
            </c:strRef>
          </c:cat>
          <c:val>
            <c:numRef>
              <c:f>'Impact of new sample'!$B$64:$P$64</c:f>
              <c:numCache>
                <c:formatCode>0.0</c:formatCode>
                <c:ptCount val="15"/>
                <c:pt idx="0" formatCode="General">
                  <c:v>1171.0999999999999</c:v>
                </c:pt>
                <c:pt idx="1">
                  <c:v>1123.7</c:v>
                </c:pt>
                <c:pt idx="2">
                  <c:v>1307.9000000000001</c:v>
                </c:pt>
                <c:pt idx="3">
                  <c:v>1298.3</c:v>
                </c:pt>
                <c:pt idx="4">
                  <c:v>1148.3</c:v>
                </c:pt>
                <c:pt idx="5">
                  <c:v>1125.7</c:v>
                </c:pt>
                <c:pt idx="6">
                  <c:v>1270.3</c:v>
                </c:pt>
                <c:pt idx="7">
                  <c:v>1264.0999999999999</c:v>
                </c:pt>
                <c:pt idx="8">
                  <c:v>1169.9000000000001</c:v>
                </c:pt>
                <c:pt idx="9">
                  <c:v>1124.5999999999999</c:v>
                </c:pt>
                <c:pt idx="10">
                  <c:v>1343.4</c:v>
                </c:pt>
                <c:pt idx="11">
                  <c:v>1377.3</c:v>
                </c:pt>
                <c:pt idx="12">
                  <c:v>1163.5999999999999</c:v>
                </c:pt>
                <c:pt idx="13">
                  <c:v>1259.970537483217</c:v>
                </c:pt>
                <c:pt idx="14">
                  <c:v>1474.3689297103879</c:v>
                </c:pt>
              </c:numCache>
            </c:numRef>
          </c:val>
          <c:extLst xmlns:c16r2="http://schemas.microsoft.com/office/drawing/2015/06/chart">
            <c:ext xmlns:c16="http://schemas.microsoft.com/office/drawing/2014/chart" uri="{C3380CC4-5D6E-409C-BE32-E72D297353CC}">
              <c16:uniqueId val="{00000000-EC62-4E8C-8C46-20F4455EA56B}"/>
            </c:ext>
          </c:extLst>
        </c:ser>
        <c:ser>
          <c:idx val="1"/>
          <c:order val="1"/>
          <c:tx>
            <c:strRef>
              <c:f>'Impact of new sample'!$A$65</c:f>
              <c:strCache>
                <c:ptCount val="1"/>
                <c:pt idx="0">
                  <c:v>Employment new series</c:v>
                </c:pt>
              </c:strCache>
            </c:strRef>
          </c:tx>
          <c:spPr>
            <a:ln w="28575" cap="rnd">
              <a:solidFill>
                <a:schemeClr val="accent2"/>
              </a:solidFill>
              <a:round/>
            </a:ln>
            <a:effectLst/>
          </c:spPr>
          <c:marker>
            <c:symbol val="none"/>
          </c:marker>
          <c:cat>
            <c:strRef>
              <c:f>'Impact of new sample'!$B$63:$P$63</c:f>
              <c:strCache>
                <c:ptCount val="15"/>
                <c:pt idx="0">
                  <c:v>Q42015</c:v>
                </c:pt>
                <c:pt idx="1">
                  <c:v>Q12016</c:v>
                </c:pt>
                <c:pt idx="2">
                  <c:v>Q22016</c:v>
                </c:pt>
                <c:pt idx="3">
                  <c:v>Q32016</c:v>
                </c:pt>
                <c:pt idx="4">
                  <c:v>Q42016</c:v>
                </c:pt>
                <c:pt idx="5">
                  <c:v>Q12017</c:v>
                </c:pt>
                <c:pt idx="6">
                  <c:v>Q22017</c:v>
                </c:pt>
                <c:pt idx="7">
                  <c:v>Q32017</c:v>
                </c:pt>
                <c:pt idx="8">
                  <c:v>Q42017</c:v>
                </c:pt>
                <c:pt idx="9">
                  <c:v>Q12018</c:v>
                </c:pt>
                <c:pt idx="10">
                  <c:v>Q22018</c:v>
                </c:pt>
                <c:pt idx="11">
                  <c:v>Q32018</c:v>
                </c:pt>
                <c:pt idx="12">
                  <c:v>Q42018</c:v>
                </c:pt>
                <c:pt idx="13">
                  <c:v>Q12019</c:v>
                </c:pt>
                <c:pt idx="14">
                  <c:v>Q22019</c:v>
                </c:pt>
              </c:strCache>
            </c:strRef>
          </c:cat>
          <c:val>
            <c:numRef>
              <c:f>'Impact of new sample'!$B$65:$P$65</c:f>
              <c:numCache>
                <c:formatCode>General</c:formatCode>
                <c:ptCount val="15"/>
                <c:pt idx="9" formatCode="0.0">
                  <c:v>737.33138117980957</c:v>
                </c:pt>
                <c:pt idx="10" formatCode="0.0">
                  <c:v>827.77043752288921</c:v>
                </c:pt>
                <c:pt idx="11" formatCode="0.0">
                  <c:v>849.76656666564941</c:v>
                </c:pt>
                <c:pt idx="12" formatCode="0.0">
                  <c:v>761.4104341430666</c:v>
                </c:pt>
                <c:pt idx="13" formatCode="0.0">
                  <c:v>829.03233744812053</c:v>
                </c:pt>
                <c:pt idx="14" formatCode="0.0">
                  <c:v>901.05580638885499</c:v>
                </c:pt>
              </c:numCache>
            </c:numRef>
          </c:val>
          <c:extLst xmlns:c16r2="http://schemas.microsoft.com/office/drawing/2015/06/chart">
            <c:ext xmlns:c16="http://schemas.microsoft.com/office/drawing/2014/chart" uri="{C3380CC4-5D6E-409C-BE32-E72D297353CC}">
              <c16:uniqueId val="{00000001-EC62-4E8C-8C46-20F4455EA56B}"/>
            </c:ext>
          </c:extLst>
        </c:ser>
        <c:marker val="1"/>
        <c:axId val="120064640"/>
        <c:axId val="120107392"/>
      </c:lineChart>
      <c:catAx>
        <c:axId val="120064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107392"/>
        <c:crosses val="autoZero"/>
        <c:auto val="1"/>
        <c:lblAlgn val="ctr"/>
        <c:lblOffset val="100"/>
      </c:catAx>
      <c:valAx>
        <c:axId val="1201073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000s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064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0.60168</cdr:x>
      <cdr:y>0.31771</cdr:y>
    </cdr:from>
    <cdr:to>
      <cdr:x>0.66723</cdr:x>
      <cdr:y>0.34375</cdr:y>
    </cdr:to>
    <cdr:cxnSp macro="">
      <cdr:nvCxnSpPr>
        <cdr:cNvPr id="3" name="Straight Arrow Connector 2"/>
        <cdr:cNvCxnSpPr/>
      </cdr:nvCxnSpPr>
      <cdr:spPr>
        <a:xfrm xmlns:a="http://schemas.openxmlformats.org/drawingml/2006/main">
          <a:off x="3409951" y="1162050"/>
          <a:ext cx="371475" cy="952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0.37983</cdr:x>
      <cdr:y>0.33073</cdr:y>
    </cdr:from>
    <cdr:to>
      <cdr:x>0.43866</cdr:x>
      <cdr:y>0.34896</cdr:y>
    </cdr:to>
    <cdr:cxnSp macro="">
      <cdr:nvCxnSpPr>
        <cdr:cNvPr id="6" name="Straight Arrow Connector 5"/>
        <cdr:cNvCxnSpPr/>
      </cdr:nvCxnSpPr>
      <cdr:spPr>
        <a:xfrm xmlns:a="http://schemas.openxmlformats.org/drawingml/2006/main">
          <a:off x="2152651" y="1209675"/>
          <a:ext cx="333375" cy="666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0.15294</cdr:x>
      <cdr:y>0.32031</cdr:y>
    </cdr:from>
    <cdr:to>
      <cdr:x>0.21513</cdr:x>
      <cdr:y>0.34115</cdr:y>
    </cdr:to>
    <cdr:cxnSp macro="">
      <cdr:nvCxnSpPr>
        <cdr:cNvPr id="8" name="Straight Arrow Connector 7"/>
        <cdr:cNvCxnSpPr/>
      </cdr:nvCxnSpPr>
      <cdr:spPr>
        <a:xfrm xmlns:a="http://schemas.openxmlformats.org/drawingml/2006/main">
          <a:off x="866776" y="1171575"/>
          <a:ext cx="352425" cy="762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0.83361</cdr:x>
      <cdr:y>0.29167</cdr:y>
    </cdr:from>
    <cdr:to>
      <cdr:x>0.89076</cdr:x>
      <cdr:y>0.32813</cdr:y>
    </cdr:to>
    <cdr:cxnSp macro="">
      <cdr:nvCxnSpPr>
        <cdr:cNvPr id="10" name="Straight Arrow Connector 9"/>
        <cdr:cNvCxnSpPr/>
      </cdr:nvCxnSpPr>
      <cdr:spPr>
        <a:xfrm xmlns:a="http://schemas.openxmlformats.org/drawingml/2006/main" flipV="1">
          <a:off x="4724401" y="1066800"/>
          <a:ext cx="323850" cy="1333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EF94-67A0-48D9-806A-A49ECD59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Kieran</dc:creator>
  <cp:lastModifiedBy>User</cp:lastModifiedBy>
  <cp:revision>2</cp:revision>
  <cp:lastPrinted>2020-01-20T14:56:00Z</cp:lastPrinted>
  <dcterms:created xsi:type="dcterms:W3CDTF">2020-03-31T21:46:00Z</dcterms:created>
  <dcterms:modified xsi:type="dcterms:W3CDTF">2020-03-31T21:46:00Z</dcterms:modified>
</cp:coreProperties>
</file>