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714" w14:textId="77777777" w:rsidR="00BB288B" w:rsidRPr="00D22FB0" w:rsidRDefault="00BB288B" w:rsidP="00BB288B">
      <w:pPr>
        <w:keepNext/>
        <w:spacing w:after="0" w:line="210" w:lineRule="exact"/>
        <w:jc w:val="center"/>
        <w:outlineLvl w:val="0"/>
        <w:rPr>
          <w:rFonts w:eastAsia="Times New Roman" w:cs="Times New Roman"/>
          <w:b/>
          <w:bCs/>
          <w:caps/>
          <w:sz w:val="19"/>
          <w:szCs w:val="19"/>
          <w:lang w:eastAsia="ru-RU"/>
        </w:rPr>
      </w:pPr>
      <w:r w:rsidRPr="00D22FB0">
        <w:rPr>
          <w:rFonts w:eastAsia="Times New Roman" w:cs="Times New Roman"/>
          <w:b/>
          <w:bCs/>
          <w:caps/>
          <w:sz w:val="19"/>
          <w:szCs w:val="19"/>
          <w:lang w:eastAsia="ru-RU"/>
        </w:rPr>
        <w:t>BIROUL NAŢIONAL DE STATISTICĂ AL REPUBLICII MOLDOVA</w:t>
      </w:r>
    </w:p>
    <w:p w14:paraId="6ED3E08C" w14:textId="77777777" w:rsidR="00BB288B" w:rsidRPr="00D22FB0" w:rsidRDefault="00BB288B" w:rsidP="00BB288B">
      <w:pPr>
        <w:keepNext/>
        <w:spacing w:after="0" w:line="210" w:lineRule="exact"/>
        <w:jc w:val="both"/>
        <w:outlineLvl w:val="0"/>
        <w:rPr>
          <w:rFonts w:eastAsia="Times New Roman" w:cs="Times New Roman"/>
          <w:caps/>
          <w:sz w:val="19"/>
          <w:szCs w:val="19"/>
          <w:lang w:eastAsia="ru-RU"/>
        </w:rPr>
      </w:pPr>
    </w:p>
    <w:p w14:paraId="7F9144AB" w14:textId="77777777" w:rsidR="00C1586D" w:rsidRPr="00D22FB0" w:rsidRDefault="00BB288B" w:rsidP="00BB288B">
      <w:pPr>
        <w:widowControl w:val="0"/>
        <w:spacing w:after="0" w:line="210" w:lineRule="exact"/>
        <w:ind w:left="6521" w:right="-58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D22FB0">
        <w:rPr>
          <w:rFonts w:eastAsia="Times New Roman" w:cs="Times New Roman"/>
          <w:snapToGrid w:val="0"/>
          <w:sz w:val="16"/>
          <w:szCs w:val="16"/>
          <w:lang w:eastAsia="ru-RU"/>
        </w:rPr>
        <w:t xml:space="preserve">Aprobate prin Ordinul Biroului Național de Statistică </w:t>
      </w:r>
    </w:p>
    <w:p w14:paraId="515A433C" w14:textId="494637EF" w:rsidR="00BB288B" w:rsidRPr="00D22FB0" w:rsidRDefault="00BB288B" w:rsidP="00BB288B">
      <w:pPr>
        <w:widowControl w:val="0"/>
        <w:spacing w:after="0" w:line="210" w:lineRule="exact"/>
        <w:ind w:left="6521" w:right="-58"/>
        <w:rPr>
          <w:rFonts w:eastAsia="Times New Roman" w:cs="Times New Roman"/>
          <w:b/>
          <w:sz w:val="16"/>
          <w:szCs w:val="16"/>
          <w:lang w:eastAsia="ru-RU"/>
        </w:rPr>
      </w:pPr>
      <w:r w:rsidRPr="00D22FB0">
        <w:rPr>
          <w:rFonts w:eastAsia="Times New Roman" w:cs="Times New Roman"/>
          <w:snapToGrid w:val="0"/>
          <w:sz w:val="16"/>
          <w:szCs w:val="16"/>
          <w:lang w:eastAsia="ru-RU"/>
        </w:rPr>
        <w:t>nr.</w:t>
      </w:r>
      <w:r w:rsidR="00B95790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</w:t>
      </w:r>
      <w:r w:rsidR="00990590">
        <w:rPr>
          <w:rFonts w:eastAsia="Times New Roman" w:cs="Times New Roman"/>
          <w:snapToGrid w:val="0"/>
          <w:sz w:val="16"/>
          <w:szCs w:val="16"/>
          <w:lang w:eastAsia="ru-RU"/>
        </w:rPr>
        <w:t>96</w:t>
      </w:r>
      <w:r w:rsidRPr="00D22FB0">
        <w:rPr>
          <w:rFonts w:eastAsia="Times New Roman" w:cs="Times New Roman"/>
          <w:sz w:val="16"/>
          <w:szCs w:val="16"/>
          <w:lang w:eastAsia="ru-RU"/>
        </w:rPr>
        <w:t xml:space="preserve"> din </w:t>
      </w:r>
      <w:r w:rsidR="00990590">
        <w:rPr>
          <w:rFonts w:eastAsia="Times New Roman" w:cs="Times New Roman"/>
          <w:sz w:val="16"/>
          <w:szCs w:val="16"/>
          <w:lang w:eastAsia="ru-RU"/>
        </w:rPr>
        <w:t>16.11.</w:t>
      </w:r>
      <w:r w:rsidR="00B95790">
        <w:rPr>
          <w:rFonts w:eastAsia="Times New Roman" w:cs="Times New Roman"/>
          <w:sz w:val="16"/>
          <w:szCs w:val="16"/>
          <w:lang w:eastAsia="ru-RU"/>
        </w:rPr>
        <w:t>202</w:t>
      </w:r>
      <w:r w:rsidR="00675D5D">
        <w:rPr>
          <w:rFonts w:eastAsia="Times New Roman" w:cs="Times New Roman"/>
          <w:sz w:val="16"/>
          <w:szCs w:val="16"/>
          <w:lang w:eastAsia="ru-RU"/>
        </w:rPr>
        <w:t>3</w:t>
      </w:r>
      <w:r w:rsidRPr="00D22FB0">
        <w:rPr>
          <w:rFonts w:eastAsia="Times New Roman" w:cs="Times New Roman"/>
          <w:color w:val="FFFFFF"/>
          <w:sz w:val="16"/>
          <w:szCs w:val="16"/>
          <w:lang w:eastAsia="ru-RU"/>
        </w:rPr>
        <w:t>1 noiembrie 2019</w:t>
      </w:r>
    </w:p>
    <w:p w14:paraId="0F9486AC" w14:textId="030443D8" w:rsidR="00C1586D" w:rsidRPr="00D22FB0" w:rsidRDefault="00C1586D" w:rsidP="00C1586D">
      <w:pPr>
        <w:spacing w:after="0"/>
        <w:ind w:firstLine="18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D22FB0">
        <w:rPr>
          <w:rFonts w:eastAsia="Times New Roman" w:cs="Times New Roman"/>
          <w:b/>
          <w:color w:val="000000"/>
          <w:sz w:val="22"/>
          <w:lang w:eastAsia="ru-RU"/>
        </w:rPr>
        <w:t>Indicații metodologice</w:t>
      </w:r>
    </w:p>
    <w:p w14:paraId="4FFF226A" w14:textId="77777777" w:rsidR="00C1586D" w:rsidRPr="00D22FB0" w:rsidRDefault="00C1586D" w:rsidP="00C1586D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D22FB0">
        <w:rPr>
          <w:rFonts w:eastAsia="Times New Roman" w:cs="Times New Roman"/>
          <w:b/>
          <w:sz w:val="22"/>
          <w:lang w:eastAsia="ru-RU"/>
        </w:rPr>
        <w:t xml:space="preserve">privind completarea chestionarului statistic </w:t>
      </w:r>
    </w:p>
    <w:p w14:paraId="09D8239D" w14:textId="77777777" w:rsidR="00C1586D" w:rsidRPr="00D22FB0" w:rsidRDefault="00C1586D" w:rsidP="00C1586D">
      <w:pPr>
        <w:spacing w:after="0"/>
        <w:jc w:val="center"/>
        <w:rPr>
          <w:rFonts w:ascii="Pragmatica" w:eastAsia="Times New Roman" w:hAnsi="Pragmatica" w:cs="Times New Roman"/>
          <w:sz w:val="22"/>
          <w:lang w:eastAsia="ru-RU"/>
        </w:rPr>
      </w:pPr>
      <w:r w:rsidRPr="00D22FB0">
        <w:rPr>
          <w:rFonts w:eastAsia="Times New Roman" w:cs="Times New Roman"/>
          <w:b/>
          <w:sz w:val="22"/>
          <w:lang w:eastAsia="ru-RU"/>
        </w:rPr>
        <w:t>Ancheta Structurală Anuală</w:t>
      </w:r>
      <w:r w:rsidRPr="00D22FB0">
        <w:t xml:space="preserve"> </w:t>
      </w:r>
      <w:r w:rsidRPr="00D22FB0">
        <w:rPr>
          <w:rFonts w:eastAsia="Times New Roman" w:cs="Times New Roman"/>
          <w:b/>
          <w:sz w:val="22"/>
          <w:lang w:eastAsia="ru-RU"/>
        </w:rPr>
        <w:t>(ASA)</w:t>
      </w:r>
    </w:p>
    <w:p w14:paraId="2123C872" w14:textId="77777777" w:rsidR="00BB288B" w:rsidRPr="00D22FB0" w:rsidRDefault="00BB288B" w:rsidP="00BB288B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7B927E98" w14:textId="74CD75FB" w:rsidR="00BB288B" w:rsidRPr="00D22FB0" w:rsidRDefault="00BB288B" w:rsidP="00BB288B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22FB0">
        <w:rPr>
          <w:rFonts w:eastAsia="Times New Roman" w:cs="Times New Roman"/>
          <w:b/>
          <w:sz w:val="20"/>
          <w:szCs w:val="20"/>
          <w:lang w:eastAsia="ru-RU"/>
        </w:rPr>
        <w:t>Dispoziții generale</w:t>
      </w:r>
    </w:p>
    <w:p w14:paraId="093423B6" w14:textId="3A999D95" w:rsidR="00BB288B" w:rsidRPr="00D22FB0" w:rsidRDefault="00BB288B" w:rsidP="00BB288B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323F3DB6" w14:textId="5BECADDD" w:rsidR="00BB288B" w:rsidRPr="00D22FB0" w:rsidRDefault="00BB288B" w:rsidP="00980475">
      <w:pPr>
        <w:spacing w:after="0"/>
        <w:ind w:firstLine="360"/>
        <w:jc w:val="both"/>
        <w:rPr>
          <w:rFonts w:eastAsia="Times New Roman" w:cs="Times New Roman"/>
          <w:bCs/>
          <w:sz w:val="18"/>
          <w:szCs w:val="18"/>
          <w:lang w:eastAsia="ru-RU"/>
        </w:rPr>
      </w:pPr>
      <w:r w:rsidRPr="00D22FB0">
        <w:rPr>
          <w:rFonts w:eastAsia="Times New Roman" w:cs="Times New Roman"/>
          <w:b/>
          <w:sz w:val="18"/>
          <w:szCs w:val="18"/>
          <w:lang w:eastAsia="ru-RU"/>
        </w:rPr>
        <w:t xml:space="preserve">Sfera de cuprindere: </w:t>
      </w:r>
      <w:r w:rsidR="00980475" w:rsidRPr="00D22FB0">
        <w:rPr>
          <w:rFonts w:eastAsia="Times New Roman" w:cs="Times New Roman"/>
          <w:bCs/>
          <w:sz w:val="18"/>
          <w:szCs w:val="18"/>
          <w:lang w:eastAsia="ru-RU"/>
        </w:rPr>
        <w:t>În ASA au fost cuprinse întreprinderile active din industrie, energie electrică și termică, gaze și apă, construcții, comerț, servicii de piață.</w:t>
      </w:r>
    </w:p>
    <w:p w14:paraId="0F3D68A8" w14:textId="3B7FD308" w:rsidR="00BB288B" w:rsidRPr="00D22FB0" w:rsidRDefault="00BB288B" w:rsidP="00980475">
      <w:pPr>
        <w:spacing w:after="0"/>
        <w:ind w:firstLine="360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D22FB0">
        <w:rPr>
          <w:rFonts w:eastAsia="Times New Roman" w:cs="Times New Roman"/>
          <w:b/>
          <w:sz w:val="18"/>
          <w:szCs w:val="18"/>
          <w:lang w:eastAsia="ru-RU"/>
        </w:rPr>
        <w:t xml:space="preserve">Indicatorii valorici </w:t>
      </w:r>
      <w:r w:rsidRPr="00D22FB0">
        <w:rPr>
          <w:rFonts w:eastAsia="Times New Roman" w:cs="Times New Roman"/>
          <w:bCs/>
          <w:sz w:val="18"/>
          <w:szCs w:val="18"/>
          <w:lang w:eastAsia="ru-RU"/>
        </w:rPr>
        <w:t>se înscriu cu zecimale (cu o cifră după virgulă).</w:t>
      </w:r>
    </w:p>
    <w:p w14:paraId="7E867DDC" w14:textId="7628C0EF" w:rsidR="00BB288B" w:rsidRPr="00D22FB0" w:rsidRDefault="00BB288B" w:rsidP="00DF4FF1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Times New Roman" w:cs="Times New Roman"/>
          <w:bCs/>
          <w:sz w:val="18"/>
          <w:szCs w:val="18"/>
          <w:lang w:eastAsia="ru-RU"/>
        </w:rPr>
        <w:t>Compartimentul</w:t>
      </w:r>
      <w:r w:rsidRPr="00D22FB0">
        <w:rPr>
          <w:rFonts w:eastAsia="Times New Roman" w:cs="Times New Roman"/>
          <w:b/>
          <w:sz w:val="18"/>
          <w:szCs w:val="18"/>
          <w:lang w:eastAsia="ru-RU"/>
        </w:rPr>
        <w:t xml:space="preserve"> „Date de identificare” </w:t>
      </w:r>
      <w:r w:rsidRPr="00D22FB0">
        <w:rPr>
          <w:rFonts w:eastAsia="Times New Roman" w:cs="Times New Roman"/>
          <w:bCs/>
          <w:sz w:val="18"/>
          <w:szCs w:val="18"/>
          <w:lang w:eastAsia="ru-RU"/>
        </w:rPr>
        <w:t xml:space="preserve">se completează cu informații referitoare la identificarea </w:t>
      </w:r>
      <w:proofErr w:type="spellStart"/>
      <w:r w:rsidRPr="00D22FB0">
        <w:rPr>
          <w:rFonts w:eastAsia="Times New Roman" w:cs="Times New Roman"/>
          <w:bCs/>
          <w:sz w:val="18"/>
          <w:szCs w:val="18"/>
          <w:lang w:eastAsia="ru-RU"/>
        </w:rPr>
        <w:t>entității</w:t>
      </w:r>
      <w:r w:rsidRPr="00D22FB0">
        <w:rPr>
          <w:rFonts w:eastAsia="Times New Roman" w:cs="Times New Roman"/>
          <w:b/>
          <w:sz w:val="18"/>
          <w:szCs w:val="18"/>
          <w:lang w:eastAsia="ru-RU"/>
        </w:rPr>
        <w:t>.</w:t>
      </w:r>
      <w:r w:rsidRPr="00D22FB0">
        <w:rPr>
          <w:rFonts w:eastAsia="Cambria Math" w:cs="Times New Roman"/>
          <w:sz w:val="18"/>
          <w:szCs w:val="18"/>
          <w:lang w:eastAsia="ru-RU"/>
        </w:rPr>
        <w:t>Ancheta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structurală anuală în întreprinderi este destinată pentru cercetarea statistică a sistemului comercial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de producție al agenților economici din economia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naţională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.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</w:p>
    <w:p w14:paraId="08975DE8" w14:textId="7E9D499E" w:rsidR="00BB288B" w:rsidRPr="00D22FB0" w:rsidRDefault="00BB288B" w:rsidP="000A7DDD">
      <w:pPr>
        <w:spacing w:after="0"/>
        <w:ind w:firstLine="360"/>
        <w:jc w:val="both"/>
        <w:rPr>
          <w:rFonts w:eastAsia="Cambria Math" w:cs="Times New Roman"/>
          <w:i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150 „Cifra de afaceri (venitul din vânzări), fără TVA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accize”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se indică suma veniturilor obținute din vânzarea produselor, mărfurilor, prestarea serviciilor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executarea lucrărilor, provenite atât din activitatea principală, cât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din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activităţile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secundare, exercitate de întreprindere în perioada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referinţă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. Acest indicator constituie suma rulajului creditor al contului </w:t>
      </w:r>
      <w:r w:rsidRPr="00D22FB0">
        <w:rPr>
          <w:rFonts w:eastAsia="Cambria Math" w:cs="Times New Roman"/>
          <w:i/>
          <w:sz w:val="18"/>
          <w:szCs w:val="18"/>
          <w:lang w:eastAsia="ru-RU"/>
        </w:rPr>
        <w:t>611 “Venituri din vânzări”.</w:t>
      </w:r>
    </w:p>
    <w:p w14:paraId="31FA3FDC" w14:textId="77777777" w:rsidR="00BB288B" w:rsidRPr="00D22FB0" w:rsidRDefault="00BB288B" w:rsidP="000A7DDD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100 „Venituri din </w:t>
      </w:r>
      <w:r w:rsidRPr="00D22FB0">
        <w:rPr>
          <w:rFonts w:eastAsia="Cambria Math" w:cs="Times New Roman"/>
          <w:b/>
          <w:sz w:val="18"/>
          <w:szCs w:val="18"/>
        </w:rPr>
        <w:t>vânzarea produselor”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se indică veniturile din vânzarea produselor;</w:t>
      </w:r>
    </w:p>
    <w:p w14:paraId="6870A5B3" w14:textId="77777777" w:rsidR="00BB288B" w:rsidRPr="00D22FB0" w:rsidRDefault="00BB288B" w:rsidP="000A7DDD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110 „Venituri din </w:t>
      </w:r>
      <w:r w:rsidRPr="00D22FB0">
        <w:rPr>
          <w:rFonts w:eastAsia="Cambria Math" w:cs="Times New Roman"/>
          <w:b/>
          <w:sz w:val="18"/>
          <w:szCs w:val="18"/>
        </w:rPr>
        <w:t>vânzarea mărfurilor”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se indică veniturile din vânzarea mărfurilor;</w:t>
      </w:r>
    </w:p>
    <w:p w14:paraId="4491A882" w14:textId="77777777" w:rsidR="00BB288B" w:rsidRDefault="00BB288B" w:rsidP="000A7DDD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bookmarkStart w:id="0" w:name="_Hlk156310470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111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bookmarkEnd w:id="0"/>
      <w:r w:rsidRPr="00D22FB0">
        <w:rPr>
          <w:rFonts w:eastAsia="Cambria Math" w:cs="Times New Roman"/>
          <w:b/>
          <w:sz w:val="18"/>
          <w:szCs w:val="18"/>
          <w:lang w:eastAsia="ru-RU"/>
        </w:rPr>
        <w:t>„</w:t>
      </w:r>
      <w:r w:rsidRPr="00D22FB0">
        <w:rPr>
          <w:rFonts w:eastAsia="Cambria Math" w:cs="Times New Roman"/>
          <w:b/>
          <w:sz w:val="18"/>
          <w:szCs w:val="18"/>
        </w:rPr>
        <w:t xml:space="preserve">cu amănuntul” </w:t>
      </w:r>
      <w:r w:rsidRPr="00D22FB0">
        <w:rPr>
          <w:rFonts w:eastAsia="Cambria Math" w:cs="Times New Roman"/>
          <w:sz w:val="18"/>
          <w:szCs w:val="18"/>
          <w:lang w:eastAsia="ru-RU"/>
        </w:rPr>
        <w:t>se indică venitul din vânzarea mărfurilor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cu amănuntul.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Vânzarea cu amănuntul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constituie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vânzarea mărfurilor către consumatorii finali (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populaţie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).</w:t>
      </w:r>
    </w:p>
    <w:p w14:paraId="62876EAA" w14:textId="005C7608" w:rsidR="00DF4FF1" w:rsidRPr="00DF4FF1" w:rsidRDefault="00DF4FF1" w:rsidP="000A7DDD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 xml:space="preserve">În </w:t>
      </w:r>
      <w:proofErr w:type="spellStart"/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>rd</w:t>
      </w:r>
      <w:proofErr w:type="spellEnd"/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>. 11</w:t>
      </w:r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>2</w:t>
      </w:r>
      <w:r w:rsidRPr="00DF4FF1">
        <w:rPr>
          <w:rFonts w:eastAsia="Cambria Math" w:cs="Times New Roman"/>
          <w:sz w:val="18"/>
          <w:szCs w:val="18"/>
          <w:lang w:eastAsia="ru-RU"/>
        </w:rPr>
        <w:t xml:space="preserve"> </w:t>
      </w:r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>„</w:t>
      </w:r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>cu ridicata”</w:t>
      </w:r>
      <w:r>
        <w:rPr>
          <w:rFonts w:eastAsia="Cambria Math" w:cs="Times New Roman"/>
          <w:b/>
          <w:bCs/>
          <w:sz w:val="18"/>
          <w:szCs w:val="18"/>
          <w:lang w:eastAsia="ru-RU"/>
        </w:rPr>
        <w:t xml:space="preserve"> </w:t>
      </w:r>
      <w:r w:rsidRPr="00DF4FF1">
        <w:rPr>
          <w:rFonts w:eastAsia="Cambria Math" w:cs="Times New Roman"/>
          <w:b/>
          <w:bCs/>
          <w:sz w:val="18"/>
          <w:szCs w:val="18"/>
          <w:lang w:eastAsia="ru-RU"/>
        </w:rPr>
        <w:t xml:space="preserve">” </w:t>
      </w:r>
      <w:r w:rsidRPr="00DF4FF1">
        <w:rPr>
          <w:rFonts w:eastAsia="Cambria Math" w:cs="Times New Roman"/>
          <w:sz w:val="18"/>
          <w:szCs w:val="18"/>
          <w:lang w:eastAsia="ru-RU"/>
        </w:rPr>
        <w:t>se indică venitul din vânzarea mărfurilor cu</w:t>
      </w:r>
      <w:r>
        <w:rPr>
          <w:rFonts w:eastAsia="Cambria Math" w:cs="Times New Roman"/>
          <w:sz w:val="18"/>
          <w:szCs w:val="18"/>
          <w:lang w:eastAsia="ru-RU"/>
        </w:rPr>
        <w:t xml:space="preserve"> ridicata.</w:t>
      </w:r>
      <w:r w:rsidRPr="00DF4FF1">
        <w:rPr>
          <w:rFonts w:eastAsia="Cambria Math" w:cs="Times New Roman"/>
          <w:sz w:val="18"/>
          <w:szCs w:val="18"/>
          <w:lang w:eastAsia="ru-RU"/>
        </w:rPr>
        <w:t xml:space="preserve"> </w:t>
      </w:r>
      <w:r>
        <w:rPr>
          <w:rFonts w:eastAsia="Cambria Math" w:cs="Times New Roman"/>
          <w:sz w:val="18"/>
          <w:szCs w:val="18"/>
          <w:lang w:eastAsia="ru-RU"/>
        </w:rPr>
        <w:t xml:space="preserve">Vânzarea cu ridicata constituie </w:t>
      </w:r>
      <w:r w:rsidRPr="00DF4FF1">
        <w:rPr>
          <w:rFonts w:eastAsia="Cambria Math" w:cs="Times New Roman"/>
          <w:sz w:val="18"/>
          <w:szCs w:val="18"/>
          <w:lang w:eastAsia="ru-RU"/>
        </w:rPr>
        <w:t xml:space="preserve">activitate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desfăşurată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 xml:space="preserve"> de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comercianţii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 xml:space="preserve"> care cumpără produse în scopul </w:t>
      </w:r>
      <w:r w:rsidRPr="00DF4FF1">
        <w:rPr>
          <w:rFonts w:eastAsia="Cambria Math" w:cs="Times New Roman"/>
          <w:sz w:val="18"/>
          <w:szCs w:val="18"/>
          <w:lang w:eastAsia="ru-RU"/>
        </w:rPr>
        <w:t>revânzării</w:t>
      </w:r>
      <w:r w:rsidRPr="00DF4FF1">
        <w:rPr>
          <w:rFonts w:eastAsia="Cambria Math" w:cs="Times New Roman"/>
          <w:sz w:val="18"/>
          <w:szCs w:val="18"/>
          <w:lang w:eastAsia="ru-RU"/>
        </w:rPr>
        <w:t xml:space="preserve"> acestora către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alţi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 xml:space="preserve">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comercianţi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 xml:space="preserve"> sau utilizatori profesionali (producători agricoli,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industriaşi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 xml:space="preserve">, prestatori de servicii, </w:t>
      </w:r>
      <w:proofErr w:type="spellStart"/>
      <w:r w:rsidRPr="00DF4FF1">
        <w:rPr>
          <w:rFonts w:eastAsia="Cambria Math" w:cs="Times New Roman"/>
          <w:sz w:val="18"/>
          <w:szCs w:val="18"/>
          <w:lang w:eastAsia="ru-RU"/>
        </w:rPr>
        <w:t>meşteşugari</w:t>
      </w:r>
      <w:proofErr w:type="spellEnd"/>
      <w:r w:rsidRPr="00DF4FF1">
        <w:rPr>
          <w:rFonts w:eastAsia="Cambria Math" w:cs="Times New Roman"/>
          <w:sz w:val="18"/>
          <w:szCs w:val="18"/>
          <w:lang w:eastAsia="ru-RU"/>
        </w:rPr>
        <w:t>);</w:t>
      </w:r>
    </w:p>
    <w:p w14:paraId="22FA4CF5" w14:textId="39DDBCF4" w:rsidR="00BB288B" w:rsidRPr="00D22FB0" w:rsidRDefault="00BB288B" w:rsidP="000A7DDD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120 „Venituri din prestarea </w:t>
      </w:r>
      <w:r w:rsidRPr="00D22FB0">
        <w:rPr>
          <w:rFonts w:eastAsia="Cambria Math" w:cs="Times New Roman"/>
          <w:b/>
          <w:sz w:val="18"/>
          <w:szCs w:val="18"/>
        </w:rPr>
        <w:t>serviciilor,</w:t>
      </w:r>
      <w:r w:rsidRPr="00D22FB0">
        <w:rPr>
          <w:rFonts w:eastAsia="Cambria Math" w:cs="Times New Roman"/>
          <w:sz w:val="20"/>
          <w:szCs w:val="20"/>
          <w:lang w:eastAsia="ru-RU"/>
        </w:rPr>
        <w:t xml:space="preserve"> </w:t>
      </w:r>
      <w:r w:rsidRPr="00D22FB0">
        <w:rPr>
          <w:rFonts w:eastAsia="Cambria Math" w:cs="Times New Roman"/>
          <w:b/>
          <w:sz w:val="18"/>
          <w:szCs w:val="18"/>
        </w:rPr>
        <w:t>executarea lucrărilor</w:t>
      </w:r>
      <w:r w:rsidR="00647D13">
        <w:rPr>
          <w:rFonts w:eastAsia="Cambria Math" w:cs="Times New Roman"/>
          <w:b/>
          <w:sz w:val="18"/>
          <w:szCs w:val="18"/>
        </w:rPr>
        <w:t xml:space="preserve">, </w:t>
      </w:r>
      <w:r w:rsidR="00647D13" w:rsidRPr="00647D13">
        <w:rPr>
          <w:b/>
          <w:sz w:val="18"/>
          <w:szCs w:val="18"/>
          <w:lang w:val="ro-MD"/>
        </w:rPr>
        <w:t>alte venituri din vânzări</w:t>
      </w:r>
      <w:r w:rsidRPr="00D22FB0">
        <w:rPr>
          <w:rFonts w:eastAsia="Cambria Math" w:cs="Times New Roman"/>
          <w:b/>
          <w:sz w:val="18"/>
          <w:szCs w:val="18"/>
        </w:rPr>
        <w:t>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se indică veniturile din prestarea serviciilor, executarea lucrărilor</w:t>
      </w:r>
      <w:r w:rsidR="00647D13">
        <w:rPr>
          <w:rFonts w:eastAsia="Cambria Math" w:cs="Times New Roman"/>
          <w:sz w:val="18"/>
          <w:szCs w:val="18"/>
          <w:lang w:eastAsia="ru-RU"/>
        </w:rPr>
        <w:t>, alte venituri din vânzări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. </w:t>
      </w:r>
    </w:p>
    <w:p w14:paraId="776722A6" w14:textId="77777777" w:rsidR="00BB288B" w:rsidRPr="00D22FB0" w:rsidRDefault="00BB288B" w:rsidP="000A7DDD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130 „Venituri din contracte de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construcţie</w:t>
      </w:r>
      <w:proofErr w:type="spellEnd"/>
      <w:r w:rsidRPr="00D22FB0">
        <w:rPr>
          <w:rFonts w:eastAsia="Cambria Math" w:cs="Times New Roman"/>
          <w:b/>
          <w:sz w:val="18"/>
          <w:szCs w:val="18"/>
        </w:rPr>
        <w:t>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veniturile provenite din executarea lucrărilor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construcţie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beneficiarilor.</w:t>
      </w:r>
    </w:p>
    <w:p w14:paraId="4AA93DBB" w14:textId="77777777" w:rsidR="00BB288B" w:rsidRPr="00D22FB0" w:rsidRDefault="00BB288B" w:rsidP="000A7DDD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140 „Venituri din contracte de leasing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operaţional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financiar (arendă,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locaţiune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)</w:t>
      </w:r>
      <w:r w:rsidRPr="00D22FB0">
        <w:rPr>
          <w:rFonts w:eastAsia="Cambria Math" w:cs="Times New Roman"/>
          <w:b/>
          <w:sz w:val="18"/>
          <w:szCs w:val="18"/>
        </w:rPr>
        <w:t>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veniturile din contracte de leasing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financiar (arendă,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locaţiune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)</w:t>
      </w:r>
      <w:r w:rsidRPr="00D22FB0">
        <w:rPr>
          <w:rFonts w:eastAsia="Cambria Math" w:cs="Times New Roman"/>
          <w:sz w:val="18"/>
          <w:szCs w:val="18"/>
          <w:lang w:eastAsia="ru-RU"/>
        </w:rPr>
        <w:cr/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151 „Venituri din vânzarea clădirilor de locuit noi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populaţiei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”</w:t>
      </w:r>
      <w:r w:rsidRPr="00D22FB0">
        <w:rPr>
          <w:rFonts w:eastAsia="Cambria Math" w:cs="Times New Roman"/>
          <w:sz w:val="18"/>
          <w:szCs w:val="18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veniturile din vânzarea apartamentelor (caselor particulare) noi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populaţiei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.</w:t>
      </w:r>
    </w:p>
    <w:p w14:paraId="59B1F97C" w14:textId="77777777" w:rsidR="00BB288B" w:rsidRPr="00D22FB0" w:rsidRDefault="00BB288B" w:rsidP="000A7DDD">
      <w:pPr>
        <w:suppressAutoHyphens/>
        <w:spacing w:after="0"/>
        <w:ind w:firstLine="360"/>
        <w:jc w:val="both"/>
        <w:rPr>
          <w:rFonts w:eastAsia="Cambria Math" w:cs="Times New Roman"/>
          <w:i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160 „Alte venituri din activitatea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operaţională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alte venituri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(rulajul creditor al contului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i/>
          <w:sz w:val="18"/>
          <w:szCs w:val="18"/>
          <w:lang w:eastAsia="ru-RU"/>
        </w:rPr>
        <w:t xml:space="preserve">612 „Alte venituri </w:t>
      </w:r>
      <w:proofErr w:type="spellStart"/>
      <w:r w:rsidRPr="00D22FB0">
        <w:rPr>
          <w:rFonts w:eastAsia="Cambria Math" w:cs="Times New Roman"/>
          <w:i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i/>
          <w:sz w:val="18"/>
          <w:szCs w:val="18"/>
          <w:lang w:eastAsia="ru-RU"/>
        </w:rPr>
        <w:t>”).</w:t>
      </w:r>
    </w:p>
    <w:p w14:paraId="1BBCFFFD" w14:textId="1BEBE309" w:rsidR="00BB288B" w:rsidRPr="00D22FB0" w:rsidRDefault="00BB288B" w:rsidP="000A7DDD">
      <w:pPr>
        <w:spacing w:after="0"/>
        <w:ind w:firstLine="360"/>
        <w:jc w:val="both"/>
        <w:rPr>
          <w:rFonts w:eastAsia="Cambria Math" w:cs="Times New Roman"/>
          <w:i/>
          <w:sz w:val="24"/>
          <w:szCs w:val="24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170 „</w:t>
      </w:r>
      <w:r w:rsidRPr="00D22FB0">
        <w:rPr>
          <w:rFonts w:eastAsia="Cambria Math" w:cs="Times New Roman"/>
          <w:b/>
          <w:bCs/>
          <w:iCs/>
          <w:sz w:val="18"/>
          <w:szCs w:val="18"/>
          <w:lang w:eastAsia="ru-RU"/>
        </w:rPr>
        <w:t>Costurile ulterioare</w:t>
      </w:r>
      <w:r w:rsidR="00DF4FF1" w:rsidRPr="00DF4FF1">
        <w:rPr>
          <w:rFonts w:eastAsia="Cambria Math" w:cs="Times New Roman"/>
          <w:b/>
          <w:bCs/>
          <w:iCs/>
          <w:sz w:val="18"/>
          <w:szCs w:val="18"/>
          <w:lang w:val="pt-BR" w:eastAsia="ru-RU"/>
        </w:rPr>
        <w:t xml:space="preserve"> </w:t>
      </w:r>
      <w:r w:rsidR="00DF4FF1" w:rsidRPr="00DF4FF1">
        <w:rPr>
          <w:rFonts w:cs="Times New Roman"/>
          <w:b/>
          <w:sz w:val="18"/>
          <w:szCs w:val="18"/>
        </w:rPr>
        <w:t>capitalizate</w:t>
      </w:r>
      <w:r w:rsidRPr="00D22FB0">
        <w:rPr>
          <w:rFonts w:eastAsia="Cambria Math" w:cs="Times New Roman"/>
          <w:b/>
          <w:bCs/>
          <w:iCs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bCs/>
          <w:iCs/>
          <w:sz w:val="18"/>
          <w:szCs w:val="18"/>
          <w:lang w:eastAsia="ru-RU"/>
        </w:rPr>
        <w:t xml:space="preserve">se indică costurile efectuate de întreprindere legate de producerea și/sau construirea activelor imobilizate noi care se includ în componența activelor pe termen lung ale întreprinderii. Aici se includ și cele efectuate în procesul de </w:t>
      </w:r>
      <w:proofErr w:type="spellStart"/>
      <w:r w:rsidRPr="00D22FB0">
        <w:rPr>
          <w:rFonts w:eastAsia="Cambria Math" w:cs="Times New Roman"/>
          <w:bCs/>
          <w:iCs/>
          <w:sz w:val="18"/>
          <w:szCs w:val="18"/>
          <w:lang w:eastAsia="ru-RU"/>
        </w:rPr>
        <w:t>reparaţie</w:t>
      </w:r>
      <w:proofErr w:type="spellEnd"/>
      <w:r w:rsidRPr="00D22FB0">
        <w:rPr>
          <w:rFonts w:eastAsia="Cambria Math" w:cs="Times New Roman"/>
          <w:bCs/>
          <w:iCs/>
          <w:sz w:val="18"/>
          <w:szCs w:val="18"/>
          <w:lang w:eastAsia="ru-RU"/>
        </w:rPr>
        <w:t xml:space="preserve"> sau dezvoltare a imobilizărilor cu scopul îmbunătățirii caracteristicilor inițiale ale acestora și respectiv, majorării beneficiilor economice așteptate din utilizarea obiectului (capitalizate).</w:t>
      </w:r>
    </w:p>
    <w:p w14:paraId="3CB53CA4" w14:textId="6F4E490C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180 „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Subvenţii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sz w:val="18"/>
          <w:szCs w:val="18"/>
          <w:lang w:eastAsia="ru-RU"/>
        </w:rPr>
        <w:t>se indică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>sumele primite cu titlu nerambursabil din Bugetul Public National (BPN) în legătur</w:t>
      </w:r>
      <w:r w:rsidR="00996C8E" w:rsidRPr="00D22FB0">
        <w:rPr>
          <w:rFonts w:eastAsia="Cambria Math" w:cs="Times New Roman"/>
          <w:sz w:val="18"/>
          <w:szCs w:val="18"/>
          <w:lang w:eastAsia="ru-RU"/>
        </w:rPr>
        <w:t>ă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cu producerea, vânzarea de bunuri, servicii sau de utilizare a factorilor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producţie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pentru promovarea unei politici social – economice.</w:t>
      </w:r>
    </w:p>
    <w:p w14:paraId="0FE42E1B" w14:textId="52AB44D6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210 „Costuri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cheltuieli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” – total</w:t>
      </w:r>
      <w:r w:rsidRPr="00D22FB0">
        <w:rPr>
          <w:rFonts w:eastAsia="Cambria Math" w:cs="Times New Roman"/>
          <w:i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costurile directe, indirecte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auxiliare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producţie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, precum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în total pe întreprindere. </w:t>
      </w:r>
    </w:p>
    <w:p w14:paraId="3FC98312" w14:textId="3E80E095" w:rsidR="00BB288B" w:rsidRPr="00D22FB0" w:rsidRDefault="00BB288B" w:rsidP="00BB288B">
      <w:pPr>
        <w:spacing w:after="0" w:line="228" w:lineRule="auto"/>
        <w:ind w:firstLine="340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220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„Costuri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cheltuieli materiale - total”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se indică costul materialelor cumpărate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/sau costul efectiv al materialelor fabricate la întreprindere care au fost consumate pentru necesitățile operaționale ale întreprinderii (în producție, pentru comercializarea produselor/mărfu</w:t>
      </w:r>
      <w:r w:rsidRPr="00D22FB0">
        <w:rPr>
          <w:rFonts w:eastAsia="Cambria Math" w:cs="Times New Roman"/>
          <w:sz w:val="18"/>
          <w:szCs w:val="18"/>
          <w:lang w:eastAsia="ru-RU"/>
        </w:rPr>
        <w:softHyphen/>
        <w:t xml:space="preserve">rilor, prestarea serviciilor, executarea lucrărilor, pentru necesitățile generale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administrative ale întreprinderii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subdiviziunilor structurale ale acesteia</w:t>
      </w:r>
      <w:bookmarkStart w:id="1" w:name="_Hlk92809045"/>
      <w:r w:rsidRPr="00D22FB0">
        <w:rPr>
          <w:rFonts w:eastAsia="Cambria Math" w:cs="Times New Roman"/>
          <w:sz w:val="18"/>
          <w:szCs w:val="18"/>
          <w:lang w:eastAsia="ru-RU"/>
        </w:rPr>
        <w:t xml:space="preserve">). În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componenţa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consumurilor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cheltuielilor materiale se includ: materii prime, materiale, semifabricate cumpărate, articole de completare, piese de schimb, materiale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construcţii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pentru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reparaţie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, ambalaje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materiale pentru ambalat, combustibil de toate tipurile, energia de toate tipurile, ap</w:t>
      </w:r>
      <w:r w:rsidR="001B749F" w:rsidRPr="00D22FB0">
        <w:rPr>
          <w:rFonts w:eastAsia="Cambria Math" w:cs="Times New Roman"/>
          <w:sz w:val="18"/>
          <w:szCs w:val="18"/>
          <w:lang w:eastAsia="ru-RU"/>
        </w:rPr>
        <w:t>ă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, obiecte de mică valoare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scurtă durată, etc. </w:t>
      </w:r>
      <w:bookmarkEnd w:id="1"/>
    </w:p>
    <w:p w14:paraId="30B62B66" w14:textId="05CD3093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u w:val="single"/>
          <w:lang w:eastAsia="ru-RU"/>
        </w:rPr>
        <w:t>Not</w:t>
      </w:r>
      <w:r w:rsidR="001B749F" w:rsidRPr="00D22FB0">
        <w:rPr>
          <w:rFonts w:eastAsia="Cambria Math" w:cs="Times New Roman"/>
          <w:b/>
          <w:sz w:val="18"/>
          <w:szCs w:val="18"/>
          <w:u w:val="single"/>
          <w:lang w:eastAsia="ru-RU"/>
        </w:rPr>
        <w:t>ă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: Consumurile privind </w:t>
      </w:r>
      <w:r w:rsidRPr="00D22FB0">
        <w:rPr>
          <w:rFonts w:eastAsia="Cambria Math" w:cs="Times New Roman"/>
          <w:i/>
          <w:sz w:val="18"/>
          <w:szCs w:val="18"/>
          <w:lang w:eastAsia="ru-RU"/>
        </w:rPr>
        <w:t xml:space="preserve">obiectele de mică valoare </w:t>
      </w:r>
      <w:proofErr w:type="spellStart"/>
      <w:r w:rsidRPr="00D22FB0">
        <w:rPr>
          <w:rFonts w:eastAsia="Cambria Math" w:cs="Times New Roman"/>
          <w:i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i/>
          <w:sz w:val="18"/>
          <w:szCs w:val="18"/>
          <w:lang w:eastAsia="ru-RU"/>
        </w:rPr>
        <w:t xml:space="preserve"> scurtă durată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la valoarea de intrare a obiectelor de mică valoare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scurtă durată date în exploatare, diminuată cu valoarea probabilă rămasă a acestora. </w:t>
      </w:r>
    </w:p>
    <w:p w14:paraId="57ABA412" w14:textId="77777777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240 „Costuri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cheltuieli aferente serviciilor prestate de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terţi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– total”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r w:rsidRPr="00D22FB0">
        <w:rPr>
          <w:rFonts w:eastAsia="Cambria Math" w:cs="Times New Roman"/>
          <w:sz w:val="18"/>
          <w:szCs w:val="18"/>
        </w:rPr>
        <w:t xml:space="preserve">se indică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costul total al serviciilor prestate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terţi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(persoane juridice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>/sau persoane fizice) pentru întreprindere. Aici se includ: costul serviciilor de trans</w:t>
      </w:r>
      <w:r w:rsidRPr="00D22FB0">
        <w:rPr>
          <w:rFonts w:eastAsia="Cambria Math" w:cs="Times New Roman"/>
          <w:sz w:val="18"/>
          <w:szCs w:val="18"/>
          <w:lang w:eastAsia="ru-RU"/>
        </w:rPr>
        <w:softHyphen/>
        <w:t xml:space="preserve">port;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comunicaţii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;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reparaţie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 mijloacelor fixe; de prelucrare a materiei prime; bancare; de audit; notariale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juridice; de pompieri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pază; de reclamă; pentru pregătirea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perfecţionarea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cadrelor; cana</w:t>
      </w:r>
      <w:r w:rsidRPr="00D22FB0">
        <w:rPr>
          <w:rFonts w:eastAsia="Cambria Math" w:cs="Times New Roman"/>
          <w:sz w:val="18"/>
          <w:szCs w:val="18"/>
          <w:lang w:eastAsia="ru-RU"/>
        </w:rPr>
        <w:softHyphen/>
        <w:t>li</w:t>
      </w:r>
      <w:r w:rsidRPr="00D22FB0">
        <w:rPr>
          <w:rFonts w:eastAsia="Cambria Math" w:cs="Times New Roman"/>
          <w:sz w:val="18"/>
          <w:szCs w:val="18"/>
          <w:lang w:eastAsia="ru-RU"/>
        </w:rPr>
        <w:softHyphen/>
        <w:t>za</w:t>
      </w:r>
      <w:r w:rsidRPr="00D22FB0">
        <w:rPr>
          <w:rFonts w:eastAsia="Cambria Math" w:cs="Times New Roman"/>
          <w:sz w:val="18"/>
          <w:szCs w:val="18"/>
          <w:lang w:eastAsia="ru-RU"/>
        </w:rPr>
        <w:softHyphen/>
        <w:t xml:space="preserve">re, evacuarea gunoiului, liftul, deservirea tehnicii de calcul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alte servicii prestate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terţi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. </w:t>
      </w:r>
    </w:p>
    <w:p w14:paraId="6EC23355" w14:textId="4028EEA9" w:rsidR="00BB288B" w:rsidRPr="00D22FB0" w:rsidRDefault="00BB288B" w:rsidP="00BB288B">
      <w:pPr>
        <w:widowControl w:val="0"/>
        <w:autoSpaceDE w:val="0"/>
        <w:autoSpaceDN w:val="0"/>
        <w:adjustRightInd w:val="0"/>
        <w:spacing w:after="0" w:line="204" w:lineRule="auto"/>
        <w:ind w:firstLine="340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260 „</w:t>
      </w:r>
      <w:r w:rsidRPr="00D22FB0">
        <w:rPr>
          <w:rFonts w:eastAsia="Cambria Math" w:cs="Times New Roman"/>
          <w:b/>
          <w:sz w:val="18"/>
          <w:szCs w:val="18"/>
        </w:rPr>
        <w:t xml:space="preserve">Amortizarea </w:t>
      </w:r>
      <w:proofErr w:type="spellStart"/>
      <w:r w:rsidRPr="00D22FB0">
        <w:rPr>
          <w:rFonts w:eastAsia="Cambria Math" w:cs="Times New Roman"/>
          <w:b/>
          <w:sz w:val="18"/>
          <w:szCs w:val="18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</w:rPr>
        <w:t xml:space="preserve"> deprecierea activelor imobilizate</w:t>
      </w: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suma totală a uzurii mijloacelor fixe, amortizării activelor nemateriale, epuizării resurselor naturale utilizate în activitatea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operaţională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 întreprinderii în contrapartidă cu conturile de consumuri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ale întreprinderii.</w:t>
      </w:r>
    </w:p>
    <w:p w14:paraId="2B383A31" w14:textId="77777777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bookmarkStart w:id="2" w:name="_Hlk92805218"/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270 „</w:t>
      </w:r>
      <w:r w:rsidRPr="00D22FB0">
        <w:rPr>
          <w:rFonts w:eastAsia="Cambria Math" w:cs="Times New Roman"/>
          <w:b/>
          <w:bCs/>
          <w:sz w:val="18"/>
          <w:szCs w:val="18"/>
          <w:lang w:eastAsia="ru-RU"/>
        </w:rPr>
        <w:t xml:space="preserve">Remunerarea muncii”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consumurile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cheltuielile privind retribuirea muncii calculată personalului în total pe întreprindere în contrapartidă cu conturile de consumuri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ale întreprinderii.</w:t>
      </w:r>
    </w:p>
    <w:bookmarkEnd w:id="2"/>
    <w:p w14:paraId="271D3C73" w14:textId="77777777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>. 280 „Contribuții de asigurări sociale de stat obligatorii</w:t>
      </w:r>
      <w:r w:rsidRPr="00D22FB0">
        <w:rPr>
          <w:rFonts w:eastAsia="Cambria Math" w:cs="Times New Roman"/>
          <w:b/>
          <w:bCs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consumurile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cheltuielile privind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c</w:t>
      </w:r>
      <w:r w:rsidRPr="00D22FB0">
        <w:rPr>
          <w:rFonts w:eastAsia="Cambria Math" w:cs="Times New Roman"/>
          <w:sz w:val="18"/>
          <w:szCs w:val="18"/>
        </w:rPr>
        <w:t>ontribuţiile</w:t>
      </w:r>
      <w:proofErr w:type="spellEnd"/>
      <w:r w:rsidRPr="00D22FB0">
        <w:rPr>
          <w:rFonts w:eastAsia="Cambria Math" w:cs="Times New Roman"/>
          <w:sz w:val="18"/>
          <w:szCs w:val="18"/>
        </w:rPr>
        <w:t xml:space="preserve"> asigurărilor sociale de stat obligatorii. </w:t>
      </w:r>
    </w:p>
    <w:p w14:paraId="27A4C8AB" w14:textId="77777777" w:rsidR="00BB288B" w:rsidRPr="00D22FB0" w:rsidRDefault="00BB288B" w:rsidP="00BB288B">
      <w:pPr>
        <w:spacing w:after="0"/>
        <w:ind w:firstLine="34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</w:t>
      </w:r>
      <w:bookmarkStart w:id="3" w:name="_Hlk92805552"/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rd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. 290 „Alte costuri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cheltuieli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- total”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indică mărimea altor costuri directe, indirecte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auxiliare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producţie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precum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, care n-au fost înregistrate în rândurile de mai sus. Acest indicator se determină în baza datelor analitice reflectate în debitul conturilor aferente costurilor directe, indirecte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auxiliare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producţie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precum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cheltuielilor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cuprind: cheltuieli privind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locaţiunea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(arenda); cheltuielile de deplasare; cheltuielile de reprezentare; cheltuielile privind asigurarea obligatorie a personalului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patrimoniului; cheltuielile privind dobânzile aferente creditelor bancare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împrumuturilor; amenzile,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penalităţile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, despăgubirile; impozitele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taxele incluse în cheltuieli; alte consumuri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cheltuieli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operaţionale</w:t>
      </w:r>
      <w:bookmarkEnd w:id="3"/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. </w:t>
      </w:r>
    </w:p>
    <w:p w14:paraId="77B30722" w14:textId="289B7326" w:rsidR="00BB288B" w:rsidRPr="00D22FB0" w:rsidRDefault="00BB288B" w:rsidP="00BB288B">
      <w:pPr>
        <w:spacing w:after="0"/>
        <w:ind w:firstLine="360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Capitolul 4 „Repartizarea veniturilor din vânzări, numărului mediu de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salariaţi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pe tipuri de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activităţi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completează în conformitate cu Clasificatorul Activităților din Economia Moldovei (CAEM). Repartizarea pe clase CAEM se face după tipul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activităţilor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desfășurate de unitate, indicându-se cifra de afaceri (venituri din vânzări)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numărul mediu de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salariaţi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. Personalul din conducerea administrativă a </w:t>
      </w:r>
      <w:r w:rsidR="0063395B" w:rsidRPr="00D22FB0">
        <w:rPr>
          <w:rFonts w:eastAsia="Cambria Math" w:cs="Times New Roman"/>
          <w:sz w:val="18"/>
          <w:szCs w:val="18"/>
          <w:lang w:eastAsia="ru-RU"/>
        </w:rPr>
        <w:t>unității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 se atribuie la tipul de activitate principală. În cazul în care unitatea are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activităţi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nu are venituri, dar a căror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producţie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este destinată vânzării, în col. C se vor înscrie denumirea genurilor de activitate fără a se completa col. 1. Pentru aceste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activităţi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se va completa obligatoriu numai col. 2.</w:t>
      </w:r>
    </w:p>
    <w:p w14:paraId="2A259A57" w14:textId="77777777" w:rsidR="00BB288B" w:rsidRPr="00D22FB0" w:rsidRDefault="00BB288B" w:rsidP="00BB288B">
      <w:pPr>
        <w:spacing w:after="0"/>
        <w:ind w:firstLine="283"/>
        <w:jc w:val="both"/>
        <w:rPr>
          <w:rFonts w:eastAsia="Cambria Math" w:cs="Times New Roman"/>
          <w:sz w:val="18"/>
          <w:szCs w:val="18"/>
          <w:lang w:eastAsia="ru-RU"/>
        </w:rPr>
      </w:pPr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În cap. 5 „Unitățile locale </w:t>
      </w:r>
      <w:proofErr w:type="spellStart"/>
      <w:r w:rsidRPr="00D22FB0">
        <w:rPr>
          <w:rFonts w:eastAsia="Cambria Math" w:cs="Times New Roman"/>
          <w:b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b/>
          <w:sz w:val="18"/>
          <w:szCs w:val="18"/>
          <w:lang w:eastAsia="ru-RU"/>
        </w:rPr>
        <w:t xml:space="preserve"> principalii indicatori ai acestora” </w:t>
      </w:r>
      <w:r w:rsidRPr="00D22FB0">
        <w:rPr>
          <w:rFonts w:eastAsia="Cambria Math" w:cs="Times New Roman"/>
          <w:sz w:val="18"/>
          <w:szCs w:val="18"/>
          <w:lang w:eastAsia="ru-RU"/>
        </w:rPr>
        <w:t xml:space="preserve">se reflectă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informaţia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privind cifra de afaceri (venituri din vânzări), numărul mediu de salariați, remunerarea muncii repartizate pe sediul central al întreprinderii </w:t>
      </w:r>
      <w:proofErr w:type="spellStart"/>
      <w:r w:rsidRPr="00D22FB0">
        <w:rPr>
          <w:rFonts w:eastAsia="Cambria Math" w:cs="Times New Roman"/>
          <w:sz w:val="18"/>
          <w:szCs w:val="18"/>
          <w:lang w:eastAsia="ru-RU"/>
        </w:rPr>
        <w:t>şi</w:t>
      </w:r>
      <w:proofErr w:type="spellEnd"/>
      <w:r w:rsidRPr="00D22FB0">
        <w:rPr>
          <w:rFonts w:eastAsia="Cambria Math" w:cs="Times New Roman"/>
          <w:sz w:val="18"/>
          <w:szCs w:val="18"/>
          <w:lang w:eastAsia="ru-RU"/>
        </w:rPr>
        <w:t xml:space="preserve"> pe unitățile locale. </w:t>
      </w:r>
    </w:p>
    <w:sectPr w:rsidR="00BB288B" w:rsidRPr="00D22FB0" w:rsidSect="00053A6C">
      <w:pgSz w:w="11906" w:h="16838" w:code="9"/>
      <w:pgMar w:top="540" w:right="851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B"/>
    <w:rsid w:val="00004523"/>
    <w:rsid w:val="00053A6C"/>
    <w:rsid w:val="000A7DDD"/>
    <w:rsid w:val="000E6F7A"/>
    <w:rsid w:val="001B749F"/>
    <w:rsid w:val="00330F3A"/>
    <w:rsid w:val="00393546"/>
    <w:rsid w:val="0044027A"/>
    <w:rsid w:val="00486B1B"/>
    <w:rsid w:val="004E67CB"/>
    <w:rsid w:val="005501FD"/>
    <w:rsid w:val="005E0BB6"/>
    <w:rsid w:val="0063395B"/>
    <w:rsid w:val="00643B3E"/>
    <w:rsid w:val="00647D13"/>
    <w:rsid w:val="006642BB"/>
    <w:rsid w:val="00675D5D"/>
    <w:rsid w:val="006C0B77"/>
    <w:rsid w:val="006D0CDA"/>
    <w:rsid w:val="006F2B6A"/>
    <w:rsid w:val="007271B8"/>
    <w:rsid w:val="008242FF"/>
    <w:rsid w:val="00870751"/>
    <w:rsid w:val="00922C48"/>
    <w:rsid w:val="00980475"/>
    <w:rsid w:val="00990590"/>
    <w:rsid w:val="00996C8E"/>
    <w:rsid w:val="00AD5AD4"/>
    <w:rsid w:val="00B915B7"/>
    <w:rsid w:val="00B95790"/>
    <w:rsid w:val="00BB288B"/>
    <w:rsid w:val="00C1586D"/>
    <w:rsid w:val="00CE1F04"/>
    <w:rsid w:val="00D22FB0"/>
    <w:rsid w:val="00D93FAB"/>
    <w:rsid w:val="00DD52B5"/>
    <w:rsid w:val="00DE1BB8"/>
    <w:rsid w:val="00DF4FF1"/>
    <w:rsid w:val="00E44D07"/>
    <w:rsid w:val="00EA59DF"/>
    <w:rsid w:val="00EE4070"/>
    <w:rsid w:val="00F12C76"/>
    <w:rsid w:val="00F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5312"/>
  <w15:chartTrackingRefBased/>
  <w15:docId w15:val="{3A8DB8B6-98C7-4D4A-82FA-635CD7ED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Mocanu Oxana</dc:creator>
  <cp:keywords/>
  <dc:description/>
  <cp:lastModifiedBy>Mocanu Oxana</cp:lastModifiedBy>
  <cp:revision>9</cp:revision>
  <cp:lastPrinted>2023-11-17T08:34:00Z</cp:lastPrinted>
  <dcterms:created xsi:type="dcterms:W3CDTF">2023-10-09T08:22:00Z</dcterms:created>
  <dcterms:modified xsi:type="dcterms:W3CDTF">2024-01-16T13:25:00Z</dcterms:modified>
</cp:coreProperties>
</file>